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86C0" w14:textId="77777777" w:rsidR="008E28DF" w:rsidRPr="00D0536D" w:rsidRDefault="00F863F2" w:rsidP="00F863F2">
      <w:pPr>
        <w:rPr>
          <w:b/>
        </w:rPr>
      </w:pPr>
      <w:r w:rsidRPr="00D0536D">
        <w:rPr>
          <w:b/>
        </w:rPr>
        <w:t>Cabinet Committee on Perfo</w:t>
      </w:r>
      <w:r w:rsidR="008E28DF" w:rsidRPr="00D0536D">
        <w:rPr>
          <w:b/>
        </w:rPr>
        <w:t>rmance Improvement</w:t>
      </w:r>
    </w:p>
    <w:p w14:paraId="7F08432C" w14:textId="5DDB71C2" w:rsidR="00F863F2" w:rsidRPr="00D0536D" w:rsidRDefault="00222DF4" w:rsidP="00F863F2">
      <w:r w:rsidRPr="00D0536D">
        <w:t xml:space="preserve">Meeting to be held on </w:t>
      </w:r>
      <w:r w:rsidR="00E040DB">
        <w:t>Tue</w:t>
      </w:r>
      <w:r w:rsidRPr="00D0536D">
        <w:t>s</w:t>
      </w:r>
      <w:r w:rsidR="008E28DF" w:rsidRPr="00D0536D">
        <w:t xml:space="preserve">day, </w:t>
      </w:r>
      <w:r w:rsidR="00E040DB">
        <w:t>26 February</w:t>
      </w:r>
      <w:r w:rsidR="00E77EBA">
        <w:t xml:space="preserve"> </w:t>
      </w:r>
      <w:r w:rsidR="000D0D79" w:rsidRPr="00D0536D">
        <w:t>201</w:t>
      </w:r>
      <w:r w:rsidR="00E040DB">
        <w:t>9</w:t>
      </w:r>
    </w:p>
    <w:p w14:paraId="7B05DD80" w14:textId="77777777" w:rsidR="00F863F2" w:rsidRPr="00D0536D" w:rsidRDefault="00F863F2" w:rsidP="00F863F2"/>
    <w:p w14:paraId="2B0F74B5" w14:textId="77777777" w:rsidR="00F863F2" w:rsidRPr="00D0536D" w:rsidRDefault="00826154" w:rsidP="00F863F2">
      <w:pPr>
        <w:rPr>
          <w:b/>
        </w:rPr>
      </w:pPr>
      <w:r w:rsidRPr="00D0536D">
        <w:rPr>
          <w:b/>
        </w:rPr>
        <w:t>Report of the Chief Executive</w:t>
      </w:r>
    </w:p>
    <w:p w14:paraId="0AFD0B50" w14:textId="77777777" w:rsidR="003E6A45" w:rsidRPr="00B41446" w:rsidRDefault="003E6A45">
      <w:pPr>
        <w:pStyle w:val="arial11"/>
        <w:rPr>
          <w:sz w:val="28"/>
          <w:szCs w:val="28"/>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B41446" w14:paraId="46B513E5" w14:textId="77777777">
        <w:tc>
          <w:tcPr>
            <w:tcW w:w="3260" w:type="dxa"/>
          </w:tcPr>
          <w:p w14:paraId="28A7C173" w14:textId="46A7FBE7" w:rsidR="003E6A45" w:rsidRPr="00B41446" w:rsidRDefault="003E6A45" w:rsidP="00B41446">
            <w:pPr>
              <w:rPr>
                <w:sz w:val="28"/>
                <w:szCs w:val="28"/>
              </w:rPr>
            </w:pPr>
            <w:r w:rsidRPr="00B41446">
              <w:rPr>
                <w:b/>
                <w:sz w:val="28"/>
                <w:szCs w:val="28"/>
              </w:rPr>
              <w:t xml:space="preserve">Part </w:t>
            </w:r>
            <w:r w:rsidR="00F863F2" w:rsidRPr="00B41446">
              <w:rPr>
                <w:b/>
                <w:sz w:val="28"/>
                <w:szCs w:val="28"/>
              </w:rPr>
              <w:t xml:space="preserve">I </w:t>
            </w:r>
          </w:p>
        </w:tc>
      </w:tr>
    </w:tbl>
    <w:p w14:paraId="2BC91E18" w14:textId="77777777" w:rsidR="003E6A45" w:rsidRPr="00D0536D"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D0536D" w14:paraId="16C74668" w14:textId="77777777">
        <w:tc>
          <w:tcPr>
            <w:tcW w:w="3260" w:type="dxa"/>
          </w:tcPr>
          <w:p w14:paraId="5D9459C1" w14:textId="77777777" w:rsidR="003E6A45" w:rsidRPr="00D0536D" w:rsidRDefault="003E6A45">
            <w:pPr>
              <w:pStyle w:val="BodyText"/>
            </w:pPr>
            <w:r w:rsidRPr="00D0536D">
              <w:t>Electoral Division affected:</w:t>
            </w:r>
          </w:p>
          <w:p w14:paraId="1F44358E" w14:textId="77777777" w:rsidR="003E6A45" w:rsidRPr="00D0536D" w:rsidRDefault="00F863F2">
            <w:r w:rsidRPr="00D0536D">
              <w:t>All</w:t>
            </w:r>
          </w:p>
        </w:tc>
      </w:tr>
    </w:tbl>
    <w:p w14:paraId="75E4B1A2" w14:textId="77777777" w:rsidR="003E6A45" w:rsidRPr="00D0536D" w:rsidRDefault="003E6A45">
      <w:pPr>
        <w:rPr>
          <w:u w:val="single"/>
        </w:rPr>
      </w:pPr>
    </w:p>
    <w:p w14:paraId="617F9A59" w14:textId="77777777" w:rsidR="00F863F2" w:rsidRPr="00D0536D" w:rsidRDefault="001818BC" w:rsidP="00F863F2">
      <w:pPr>
        <w:rPr>
          <w:b/>
        </w:rPr>
      </w:pPr>
      <w:r w:rsidRPr="00D0536D">
        <w:rPr>
          <w:b/>
        </w:rPr>
        <w:t xml:space="preserve">Quarterly </w:t>
      </w:r>
      <w:r w:rsidR="00AA7963" w:rsidRPr="00D0536D">
        <w:rPr>
          <w:b/>
        </w:rPr>
        <w:t xml:space="preserve">Corporate </w:t>
      </w:r>
      <w:r w:rsidR="00D567C6" w:rsidRPr="00D0536D">
        <w:rPr>
          <w:b/>
        </w:rPr>
        <w:t>Perfor</w:t>
      </w:r>
      <w:r w:rsidR="002340F4" w:rsidRPr="00D0536D">
        <w:rPr>
          <w:b/>
        </w:rPr>
        <w:t>mance Monitoring Report</w:t>
      </w:r>
      <w:r w:rsidR="00D567C6" w:rsidRPr="00D0536D">
        <w:rPr>
          <w:b/>
        </w:rPr>
        <w:t xml:space="preserve"> </w:t>
      </w:r>
      <w:r w:rsidR="006247C6" w:rsidRPr="00D0536D">
        <w:rPr>
          <w:b/>
        </w:rPr>
        <w:t xml:space="preserve">– </w:t>
      </w:r>
      <w:r w:rsidR="00E040DB">
        <w:rPr>
          <w:b/>
        </w:rPr>
        <w:t>Quarter 3</w:t>
      </w:r>
      <w:r w:rsidR="00222DF4" w:rsidRPr="00D0536D">
        <w:rPr>
          <w:b/>
        </w:rPr>
        <w:t xml:space="preserve"> </w:t>
      </w:r>
      <w:r w:rsidR="00EB771F" w:rsidRPr="00D0536D">
        <w:rPr>
          <w:b/>
        </w:rPr>
        <w:t>201</w:t>
      </w:r>
      <w:r w:rsidR="00AC10EE">
        <w:rPr>
          <w:b/>
        </w:rPr>
        <w:t>8</w:t>
      </w:r>
      <w:r w:rsidR="00EB771F" w:rsidRPr="00D0536D">
        <w:rPr>
          <w:b/>
        </w:rPr>
        <w:t>/1</w:t>
      </w:r>
      <w:r w:rsidR="00AC10EE">
        <w:rPr>
          <w:b/>
        </w:rPr>
        <w:t>9</w:t>
      </w:r>
    </w:p>
    <w:p w14:paraId="775123F7" w14:textId="77777777" w:rsidR="003E6A45" w:rsidRPr="00D0536D" w:rsidRDefault="003E6A45"/>
    <w:p w14:paraId="7EDDC08D" w14:textId="77777777" w:rsidR="003E6A45" w:rsidRPr="00E77EBA" w:rsidRDefault="003E6A45">
      <w:r w:rsidRPr="00E77EBA">
        <w:t>Contact for further information:</w:t>
      </w:r>
    </w:p>
    <w:p w14:paraId="1C30CAF3" w14:textId="77777777" w:rsidR="00F863F2" w:rsidRPr="00E77EBA" w:rsidRDefault="00F863F2" w:rsidP="00F863F2">
      <w:pPr>
        <w:ind w:right="-873"/>
      </w:pPr>
      <w:r w:rsidRPr="00E77EBA">
        <w:t>Michael W</w:t>
      </w:r>
      <w:r w:rsidR="00826154" w:rsidRPr="00E77EBA">
        <w:t xml:space="preserve">alder, 01772 533637, </w:t>
      </w:r>
      <w:r w:rsidR="00420A4F" w:rsidRPr="00E77EBA">
        <w:t>Business Intelligence</w:t>
      </w:r>
      <w:r w:rsidRPr="00E77EBA">
        <w:t xml:space="preserve">, </w:t>
      </w:r>
    </w:p>
    <w:p w14:paraId="16E68B25" w14:textId="77777777" w:rsidR="00F863F2" w:rsidRPr="00E77EBA" w:rsidRDefault="00CE2001" w:rsidP="00F863F2">
      <w:pPr>
        <w:ind w:right="-873"/>
      </w:pPr>
      <w:hyperlink r:id="rId8" w:history="1">
        <w:r w:rsidR="00F863F2" w:rsidRPr="00E77EBA">
          <w:rPr>
            <w:rStyle w:val="Hyperlink"/>
            <w:color w:val="auto"/>
          </w:rPr>
          <w:t>Michael.Walder@lancashire.gov.uk</w:t>
        </w:r>
      </w:hyperlink>
      <w:r w:rsidR="00F863F2" w:rsidRPr="00E77EBA">
        <w:t xml:space="preserve">  </w:t>
      </w:r>
    </w:p>
    <w:p w14:paraId="2574CD21" w14:textId="77777777" w:rsidR="009A5EF9" w:rsidRPr="00FB54DD" w:rsidRDefault="009A5EF9" w:rsidP="00D11F60">
      <w:pPr>
        <w:pStyle w:val="NoSpacing"/>
        <w:rPr>
          <w:rStyle w:val="SubtleEmphasis"/>
        </w:rPr>
      </w:pPr>
    </w:p>
    <w:tbl>
      <w:tblPr>
        <w:tblpPr w:leftFromText="180" w:rightFromText="180" w:vertAnchor="text" w:horzAnchor="margin" w:tblpY="1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E77EBA" w:rsidRPr="00E77EBA" w14:paraId="115CBECB" w14:textId="77777777" w:rsidTr="00545F90">
        <w:tc>
          <w:tcPr>
            <w:tcW w:w="9067" w:type="dxa"/>
          </w:tcPr>
          <w:p w14:paraId="0CEE37CB" w14:textId="77777777" w:rsidR="00F046B1" w:rsidRDefault="00F046B1" w:rsidP="003665B3">
            <w:pPr>
              <w:pStyle w:val="Heading6"/>
              <w:rPr>
                <w:rFonts w:ascii="Arial" w:hAnsi="Arial"/>
                <w:szCs w:val="24"/>
              </w:rPr>
            </w:pPr>
            <w:r w:rsidRPr="00E77EBA">
              <w:rPr>
                <w:rFonts w:ascii="Arial" w:hAnsi="Arial"/>
                <w:szCs w:val="24"/>
              </w:rPr>
              <w:t>Executive Summary</w:t>
            </w:r>
            <w:r w:rsidR="00E77EBA">
              <w:rPr>
                <w:rFonts w:ascii="Arial" w:hAnsi="Arial"/>
                <w:szCs w:val="24"/>
              </w:rPr>
              <w:t xml:space="preserve"> </w:t>
            </w:r>
          </w:p>
          <w:p w14:paraId="667AD994" w14:textId="77777777" w:rsidR="00B41446" w:rsidRPr="00B41446" w:rsidRDefault="00B41446" w:rsidP="00B41446"/>
          <w:p w14:paraId="29DF2131" w14:textId="77777777" w:rsidR="00DF79EA" w:rsidRPr="00E77EBA" w:rsidRDefault="00347754" w:rsidP="005B1C0C">
            <w:pPr>
              <w:jc w:val="both"/>
              <w:rPr>
                <w:bCs/>
                <w:szCs w:val="24"/>
              </w:rPr>
            </w:pPr>
            <w:r w:rsidRPr="00E77EBA">
              <w:rPr>
                <w:bCs/>
                <w:szCs w:val="24"/>
              </w:rPr>
              <w:t>This Corporate Performance Monitoring Report</w:t>
            </w:r>
            <w:r w:rsidR="00BB0135" w:rsidRPr="00E77EBA">
              <w:rPr>
                <w:bCs/>
                <w:szCs w:val="24"/>
              </w:rPr>
              <w:t xml:space="preserve"> </w:t>
            </w:r>
            <w:r w:rsidRPr="00E77EBA">
              <w:rPr>
                <w:bCs/>
                <w:szCs w:val="24"/>
              </w:rPr>
              <w:t>provides an overview of performance activity across the Council</w:t>
            </w:r>
            <w:r w:rsidR="00D0536D" w:rsidRPr="00E77EBA">
              <w:rPr>
                <w:bCs/>
                <w:szCs w:val="24"/>
              </w:rPr>
              <w:t xml:space="preserve"> </w:t>
            </w:r>
            <w:r w:rsidR="00095258" w:rsidRPr="00E77EBA">
              <w:rPr>
                <w:bCs/>
                <w:szCs w:val="24"/>
              </w:rPr>
              <w:t xml:space="preserve">for </w:t>
            </w:r>
            <w:r w:rsidR="00E040DB">
              <w:rPr>
                <w:bCs/>
                <w:szCs w:val="24"/>
              </w:rPr>
              <w:t>quarter 3</w:t>
            </w:r>
            <w:r w:rsidR="00E77EBA" w:rsidRPr="00E77EBA">
              <w:rPr>
                <w:bCs/>
                <w:szCs w:val="24"/>
              </w:rPr>
              <w:t xml:space="preserve"> of 2018/19</w:t>
            </w:r>
            <w:r w:rsidR="00095258" w:rsidRPr="00E77EBA">
              <w:rPr>
                <w:bCs/>
                <w:szCs w:val="24"/>
              </w:rPr>
              <w:t>.</w:t>
            </w:r>
          </w:p>
          <w:p w14:paraId="70092259" w14:textId="77777777" w:rsidR="00BB0135" w:rsidRPr="00E77EBA" w:rsidRDefault="00BB0135" w:rsidP="005B1C0C">
            <w:pPr>
              <w:jc w:val="both"/>
              <w:rPr>
                <w:bCs/>
                <w:color w:val="0070C0"/>
                <w:szCs w:val="24"/>
              </w:rPr>
            </w:pPr>
          </w:p>
          <w:p w14:paraId="2977B076" w14:textId="77777777" w:rsidR="000F3314" w:rsidRPr="009A17E1" w:rsidRDefault="00981958" w:rsidP="009A17E1">
            <w:pPr>
              <w:jc w:val="both"/>
              <w:rPr>
                <w:bCs/>
                <w:szCs w:val="24"/>
              </w:rPr>
            </w:pPr>
            <w:r w:rsidRPr="00E77EBA">
              <w:rPr>
                <w:bCs/>
                <w:szCs w:val="24"/>
              </w:rPr>
              <w:t>Highlights:</w:t>
            </w:r>
            <w:r w:rsidR="007F10D5">
              <w:rPr>
                <w:bCs/>
                <w:szCs w:val="24"/>
              </w:rPr>
              <w:t xml:space="preserve"> </w:t>
            </w:r>
          </w:p>
          <w:p w14:paraId="6FB969B8" w14:textId="02E395F1" w:rsidR="009B2607" w:rsidRPr="00EC44DE" w:rsidRDefault="009B2607" w:rsidP="009B2607">
            <w:pPr>
              <w:pStyle w:val="ListParagraph"/>
              <w:numPr>
                <w:ilvl w:val="0"/>
                <w:numId w:val="42"/>
              </w:numPr>
              <w:jc w:val="both"/>
              <w:rPr>
                <w:bCs/>
              </w:rPr>
            </w:pPr>
            <w:r w:rsidRPr="00EC44DE">
              <w:rPr>
                <w:bCs/>
              </w:rPr>
              <w:t>Referrals to chi</w:t>
            </w:r>
            <w:r w:rsidR="004E1E46">
              <w:rPr>
                <w:bCs/>
              </w:rPr>
              <w:t>ldren's social care have decreased</w:t>
            </w:r>
            <w:r w:rsidRPr="00EC44DE">
              <w:rPr>
                <w:bCs/>
              </w:rPr>
              <w:t xml:space="preserve">. </w:t>
            </w:r>
          </w:p>
          <w:p w14:paraId="3719A34B" w14:textId="77777777" w:rsidR="00C26FC6" w:rsidRPr="00EC44DE" w:rsidRDefault="00EC44DE" w:rsidP="007E5A4C">
            <w:pPr>
              <w:pStyle w:val="ListParagraph"/>
              <w:numPr>
                <w:ilvl w:val="0"/>
                <w:numId w:val="42"/>
              </w:numPr>
              <w:jc w:val="both"/>
              <w:rPr>
                <w:bCs/>
              </w:rPr>
            </w:pPr>
            <w:r w:rsidRPr="00EC44DE">
              <w:rPr>
                <w:rFonts w:eastAsiaTheme="minorHAnsi" w:cs="Arial"/>
                <w:lang w:eastAsia="en-US"/>
              </w:rPr>
              <w:t xml:space="preserve">The average time between a child entering care and moving in with their adoptive family </w:t>
            </w:r>
            <w:r w:rsidR="00057EDD">
              <w:rPr>
                <w:rFonts w:eastAsiaTheme="minorHAnsi" w:cs="Arial"/>
                <w:lang w:eastAsia="en-US"/>
              </w:rPr>
              <w:t xml:space="preserve">has </w:t>
            </w:r>
            <w:r w:rsidRPr="00EC44DE">
              <w:rPr>
                <w:rFonts w:eastAsiaTheme="minorHAnsi" w:cs="Arial"/>
                <w:lang w:eastAsia="en-US"/>
              </w:rPr>
              <w:t xml:space="preserve">reduced significantly. </w:t>
            </w:r>
          </w:p>
          <w:p w14:paraId="6D9A3A00" w14:textId="77777777" w:rsidR="000F3314" w:rsidRDefault="00EC44DE" w:rsidP="007E5A4C">
            <w:pPr>
              <w:pStyle w:val="ListParagraph"/>
              <w:numPr>
                <w:ilvl w:val="0"/>
                <w:numId w:val="42"/>
              </w:numPr>
              <w:jc w:val="both"/>
              <w:rPr>
                <w:bCs/>
              </w:rPr>
            </w:pPr>
            <w:r w:rsidRPr="00EC44DE">
              <w:rPr>
                <w:bCs/>
              </w:rPr>
              <w:t>The rate</w:t>
            </w:r>
            <w:r w:rsidR="00F057EC" w:rsidRPr="00EC44DE">
              <w:rPr>
                <w:bCs/>
              </w:rPr>
              <w:t xml:space="preserve"> of </w:t>
            </w:r>
            <w:r w:rsidR="000F3314" w:rsidRPr="00EC44DE">
              <w:rPr>
                <w:bCs/>
              </w:rPr>
              <w:t>first tim</w:t>
            </w:r>
            <w:r w:rsidR="00A86AE5" w:rsidRPr="00EC44DE">
              <w:rPr>
                <w:bCs/>
              </w:rPr>
              <w:t xml:space="preserve">e entrants to the youth justice system and </w:t>
            </w:r>
            <w:r w:rsidR="00F057EC" w:rsidRPr="00EC44DE">
              <w:rPr>
                <w:bCs/>
              </w:rPr>
              <w:t xml:space="preserve">reoffending levels in </w:t>
            </w:r>
            <w:r w:rsidR="00A86AE5" w:rsidRPr="00EC44DE">
              <w:rPr>
                <w:bCs/>
              </w:rPr>
              <w:t xml:space="preserve">Lancashire </w:t>
            </w:r>
            <w:r w:rsidR="001F072F" w:rsidRPr="00EC44DE">
              <w:rPr>
                <w:bCs/>
              </w:rPr>
              <w:t xml:space="preserve">are </w:t>
            </w:r>
            <w:r w:rsidR="00F057EC" w:rsidRPr="00EC44DE">
              <w:rPr>
                <w:bCs/>
              </w:rPr>
              <w:t xml:space="preserve">lower than </w:t>
            </w:r>
            <w:r w:rsidR="001F072F" w:rsidRPr="00EC44DE">
              <w:rPr>
                <w:bCs/>
              </w:rPr>
              <w:t xml:space="preserve">regional and </w:t>
            </w:r>
            <w:r w:rsidR="00F057EC" w:rsidRPr="00EC44DE">
              <w:rPr>
                <w:bCs/>
              </w:rPr>
              <w:t>national rates.</w:t>
            </w:r>
          </w:p>
          <w:p w14:paraId="50B01653" w14:textId="77777777" w:rsidR="00EC44DE" w:rsidRPr="00EC44DE" w:rsidRDefault="00EC44DE" w:rsidP="007E5A4C">
            <w:pPr>
              <w:pStyle w:val="ListParagraph"/>
              <w:numPr>
                <w:ilvl w:val="0"/>
                <w:numId w:val="42"/>
              </w:numPr>
              <w:jc w:val="both"/>
              <w:rPr>
                <w:bCs/>
              </w:rPr>
            </w:pPr>
            <w:r>
              <w:rPr>
                <w:bCs/>
              </w:rPr>
              <w:t>Attainment improved amongst pupils at key stages 2 and 4</w:t>
            </w:r>
            <w:r w:rsidR="00057EDD">
              <w:rPr>
                <w:bCs/>
              </w:rPr>
              <w:t xml:space="preserve"> in </w:t>
            </w:r>
            <w:r w:rsidR="00B80085">
              <w:rPr>
                <w:bCs/>
              </w:rPr>
              <w:t>2017/</w:t>
            </w:r>
            <w:r w:rsidR="00057EDD">
              <w:rPr>
                <w:bCs/>
              </w:rPr>
              <w:t>18 compared to 20</w:t>
            </w:r>
            <w:r w:rsidR="00B80085">
              <w:rPr>
                <w:bCs/>
              </w:rPr>
              <w:t>16/</w:t>
            </w:r>
            <w:r w:rsidR="00057EDD">
              <w:rPr>
                <w:bCs/>
              </w:rPr>
              <w:t>17</w:t>
            </w:r>
            <w:r>
              <w:rPr>
                <w:bCs/>
              </w:rPr>
              <w:t xml:space="preserve">. </w:t>
            </w:r>
          </w:p>
          <w:p w14:paraId="0E553F9A" w14:textId="77777777" w:rsidR="00EC44DE" w:rsidRDefault="007E5A4C" w:rsidP="00EC44DE">
            <w:pPr>
              <w:pStyle w:val="ListParagraph"/>
              <w:numPr>
                <w:ilvl w:val="0"/>
                <w:numId w:val="42"/>
              </w:numPr>
              <w:jc w:val="both"/>
            </w:pPr>
            <w:r>
              <w:rPr>
                <w:lang w:eastAsia="en-US"/>
              </w:rPr>
              <w:t>The proportion of adults receiving direct payments is now higher than the national average.</w:t>
            </w:r>
          </w:p>
          <w:p w14:paraId="7775BB6D" w14:textId="77777777" w:rsidR="007E5A4C" w:rsidRDefault="007E5A4C" w:rsidP="007E5A4C">
            <w:pPr>
              <w:pStyle w:val="ListParagraph"/>
              <w:numPr>
                <w:ilvl w:val="0"/>
                <w:numId w:val="42"/>
              </w:numPr>
              <w:jc w:val="both"/>
              <w:rPr>
                <w:sz w:val="20"/>
                <w:szCs w:val="20"/>
              </w:rPr>
            </w:pPr>
            <w:r>
              <w:t xml:space="preserve">High numbers of people are receiving </w:t>
            </w:r>
            <w:proofErr w:type="spellStart"/>
            <w:r>
              <w:t>reablement</w:t>
            </w:r>
            <w:proofErr w:type="spellEnd"/>
            <w:r>
              <w:t xml:space="preserve"> and effectiveness remains high as people are remaining at home.</w:t>
            </w:r>
          </w:p>
          <w:p w14:paraId="7AA4458C" w14:textId="77777777" w:rsidR="007E5A4C" w:rsidRDefault="007E5A4C" w:rsidP="007E5A4C">
            <w:pPr>
              <w:pStyle w:val="ListParagraph"/>
              <w:numPr>
                <w:ilvl w:val="0"/>
                <w:numId w:val="42"/>
              </w:numPr>
              <w:jc w:val="both"/>
            </w:pPr>
            <w:r>
              <w:t>Waiting lists in adult social care are improving, especially so for those awaiting Occupational Therapy (OT) assessments.</w:t>
            </w:r>
          </w:p>
          <w:p w14:paraId="0B0CFCEE" w14:textId="77777777" w:rsidR="007E5A4C" w:rsidRDefault="007E5A4C" w:rsidP="007E5A4C">
            <w:pPr>
              <w:pStyle w:val="ListParagraph"/>
              <w:numPr>
                <w:ilvl w:val="0"/>
                <w:numId w:val="42"/>
              </w:numPr>
              <w:jc w:val="both"/>
            </w:pPr>
            <w:r>
              <w:t xml:space="preserve">We are seeing an increase in the quality rating of Lancashire care homes and community care services. </w:t>
            </w:r>
          </w:p>
          <w:p w14:paraId="0C4FEDB0" w14:textId="77777777" w:rsidR="00993694" w:rsidRDefault="00993694" w:rsidP="00993694">
            <w:pPr>
              <w:pStyle w:val="ListParagraph"/>
              <w:jc w:val="both"/>
            </w:pPr>
          </w:p>
          <w:p w14:paraId="715E2764" w14:textId="77777777" w:rsidR="005B1C0C" w:rsidRPr="005B1C0C" w:rsidRDefault="005B1C0C" w:rsidP="005B1C0C">
            <w:pPr>
              <w:jc w:val="both"/>
              <w:rPr>
                <w:bCs/>
              </w:rPr>
            </w:pPr>
            <w:r>
              <w:rPr>
                <w:bCs/>
              </w:rPr>
              <w:t>However:</w:t>
            </w:r>
            <w:r w:rsidR="00500FB3" w:rsidRPr="005B1C0C">
              <w:rPr>
                <w:bCs/>
              </w:rPr>
              <w:t xml:space="preserve"> </w:t>
            </w:r>
          </w:p>
          <w:p w14:paraId="441A18D8" w14:textId="77777777" w:rsidR="002C70D5" w:rsidRPr="009B2607" w:rsidRDefault="009B2607" w:rsidP="007E5A4C">
            <w:pPr>
              <w:pStyle w:val="ListParagraph"/>
              <w:numPr>
                <w:ilvl w:val="0"/>
                <w:numId w:val="42"/>
              </w:numPr>
              <w:jc w:val="both"/>
              <w:rPr>
                <w:bCs/>
              </w:rPr>
            </w:pPr>
            <w:r w:rsidRPr="009B2607">
              <w:rPr>
                <w:bCs/>
              </w:rPr>
              <w:t>T</w:t>
            </w:r>
            <w:r w:rsidR="00AA20B4" w:rsidRPr="009B2607">
              <w:rPr>
                <w:bCs/>
              </w:rPr>
              <w:t>imeliness of undertak</w:t>
            </w:r>
            <w:r w:rsidRPr="009B2607">
              <w:rPr>
                <w:bCs/>
              </w:rPr>
              <w:t>ing</w:t>
            </w:r>
            <w:r w:rsidR="009477C0">
              <w:rPr>
                <w:bCs/>
              </w:rPr>
              <w:t xml:space="preserve"> children's social care</w:t>
            </w:r>
            <w:r w:rsidRPr="009B2607">
              <w:rPr>
                <w:bCs/>
              </w:rPr>
              <w:t xml:space="preserve"> assessments is higher than </w:t>
            </w:r>
            <w:r>
              <w:rPr>
                <w:bCs/>
              </w:rPr>
              <w:t xml:space="preserve">other </w:t>
            </w:r>
            <w:r w:rsidRPr="009B2607">
              <w:rPr>
                <w:bCs/>
              </w:rPr>
              <w:t>comparators</w:t>
            </w:r>
            <w:r w:rsidR="00AA20B4" w:rsidRPr="009B2607">
              <w:rPr>
                <w:bCs/>
              </w:rPr>
              <w:t>.</w:t>
            </w:r>
          </w:p>
          <w:p w14:paraId="3837F780" w14:textId="77777777" w:rsidR="00BC198F" w:rsidRPr="009B2607" w:rsidRDefault="009B2607" w:rsidP="007E5A4C">
            <w:pPr>
              <w:pStyle w:val="ListParagraph"/>
              <w:numPr>
                <w:ilvl w:val="0"/>
                <w:numId w:val="42"/>
              </w:numPr>
              <w:jc w:val="both"/>
              <w:rPr>
                <w:bCs/>
              </w:rPr>
            </w:pPr>
            <w:r w:rsidRPr="009B2607">
              <w:rPr>
                <w:rFonts w:eastAsiaTheme="minorEastAsia" w:cs="Arial"/>
              </w:rPr>
              <w:t xml:space="preserve">The number of </w:t>
            </w:r>
            <w:r w:rsidR="00BC198F" w:rsidRPr="009B2607">
              <w:rPr>
                <w:rFonts w:eastAsiaTheme="minorEastAsia" w:cs="Arial"/>
              </w:rPr>
              <w:t>children looked after</w:t>
            </w:r>
            <w:r w:rsidR="00496D1D" w:rsidRPr="009B2607">
              <w:rPr>
                <w:rFonts w:eastAsiaTheme="minorEastAsia" w:cs="Arial"/>
              </w:rPr>
              <w:t xml:space="preserve"> </w:t>
            </w:r>
            <w:r w:rsidR="00C26FC6" w:rsidRPr="009B2607">
              <w:rPr>
                <w:rFonts w:eastAsiaTheme="minorEastAsia" w:cs="Arial"/>
              </w:rPr>
              <w:t xml:space="preserve">rates </w:t>
            </w:r>
            <w:r w:rsidRPr="009B2607">
              <w:rPr>
                <w:rFonts w:eastAsiaTheme="minorEastAsia" w:cs="Arial"/>
              </w:rPr>
              <w:t xml:space="preserve">continued to </w:t>
            </w:r>
            <w:r w:rsidR="00496D1D" w:rsidRPr="009B2607">
              <w:rPr>
                <w:rFonts w:eastAsiaTheme="minorEastAsia" w:cs="Arial"/>
              </w:rPr>
              <w:t>increase</w:t>
            </w:r>
            <w:r w:rsidRPr="009B2607">
              <w:rPr>
                <w:rFonts w:eastAsiaTheme="minorEastAsia" w:cs="Arial"/>
              </w:rPr>
              <w:t>.</w:t>
            </w:r>
          </w:p>
          <w:p w14:paraId="561ECBF4" w14:textId="77777777" w:rsidR="007E5A4C" w:rsidRPr="00993694" w:rsidRDefault="007E5A4C" w:rsidP="007E5A4C">
            <w:pPr>
              <w:pStyle w:val="ListParagraph"/>
              <w:numPr>
                <w:ilvl w:val="0"/>
                <w:numId w:val="42"/>
              </w:numPr>
              <w:jc w:val="both"/>
              <w:rPr>
                <w:sz w:val="20"/>
              </w:rPr>
            </w:pPr>
            <w:r>
              <w:t>Despite the recent improvement, concerns remain about the level of residential admissions for older people.</w:t>
            </w:r>
          </w:p>
          <w:p w14:paraId="76834367" w14:textId="17A1732B" w:rsidR="00993694" w:rsidRPr="00E16D76" w:rsidRDefault="00875B30" w:rsidP="00993694">
            <w:pPr>
              <w:pStyle w:val="ListParagraph"/>
              <w:numPr>
                <w:ilvl w:val="0"/>
                <w:numId w:val="42"/>
              </w:numPr>
              <w:jc w:val="both"/>
              <w:rPr>
                <w:bCs/>
              </w:rPr>
            </w:pPr>
            <w:r w:rsidRPr="00E16D76">
              <w:t>The ti</w:t>
            </w:r>
            <w:r w:rsidR="009F2352" w:rsidRPr="00E16D76">
              <w:t>me taken to repair some highway</w:t>
            </w:r>
            <w:r w:rsidRPr="00E16D76">
              <w:t xml:space="preserve"> defect</w:t>
            </w:r>
            <w:r w:rsidR="009F2352" w:rsidRPr="00E16D76">
              <w:t>s and street lighting faults is</w:t>
            </w:r>
            <w:r w:rsidRPr="00E16D76">
              <w:t xml:space="preserve"> above the number of days targeted.</w:t>
            </w:r>
            <w:r w:rsidR="00993694" w:rsidRPr="00E16D76">
              <w:rPr>
                <w:rFonts w:cs="Arial"/>
              </w:rPr>
              <w:t xml:space="preserve"> </w:t>
            </w:r>
          </w:p>
          <w:p w14:paraId="3649E14E" w14:textId="77777777" w:rsidR="00875B30" w:rsidRDefault="00875B30" w:rsidP="00993694">
            <w:pPr>
              <w:jc w:val="both"/>
              <w:rPr>
                <w:sz w:val="20"/>
              </w:rPr>
            </w:pPr>
          </w:p>
          <w:p w14:paraId="3073F4EB" w14:textId="77777777" w:rsidR="00B41446" w:rsidRDefault="00B41446" w:rsidP="00993694">
            <w:pPr>
              <w:jc w:val="both"/>
              <w:rPr>
                <w:sz w:val="20"/>
              </w:rPr>
            </w:pPr>
          </w:p>
          <w:p w14:paraId="1D600B9F" w14:textId="77777777" w:rsidR="00F046B1" w:rsidRDefault="00F046B1" w:rsidP="00E46CCF">
            <w:pPr>
              <w:pStyle w:val="Heading5"/>
              <w:rPr>
                <w:rFonts w:ascii="Arial" w:hAnsi="Arial"/>
                <w:szCs w:val="24"/>
                <w:u w:val="none"/>
              </w:rPr>
            </w:pPr>
            <w:r w:rsidRPr="00A703B8">
              <w:rPr>
                <w:rFonts w:ascii="Arial" w:hAnsi="Arial"/>
                <w:szCs w:val="24"/>
                <w:u w:val="none"/>
              </w:rPr>
              <w:lastRenderedPageBreak/>
              <w:t>Recommendation</w:t>
            </w:r>
          </w:p>
          <w:p w14:paraId="6B57F16C" w14:textId="77777777" w:rsidR="00B41446" w:rsidRPr="00B41446" w:rsidRDefault="00B41446" w:rsidP="00B41446"/>
          <w:p w14:paraId="3E0A693C" w14:textId="77777777" w:rsidR="00DE1A08" w:rsidRDefault="00B41446" w:rsidP="00B41446">
            <w:pPr>
              <w:rPr>
                <w:szCs w:val="24"/>
              </w:rPr>
            </w:pPr>
            <w:r>
              <w:rPr>
                <w:szCs w:val="24"/>
              </w:rPr>
              <w:t xml:space="preserve">The Cabinet Committee on Performance Improvement </w:t>
            </w:r>
            <w:r w:rsidR="00347754" w:rsidRPr="00A43E20">
              <w:rPr>
                <w:szCs w:val="24"/>
              </w:rPr>
              <w:t xml:space="preserve">is </w:t>
            </w:r>
            <w:r w:rsidR="00346E87" w:rsidRPr="00A43E20">
              <w:rPr>
                <w:szCs w:val="24"/>
              </w:rPr>
              <w:t xml:space="preserve">asked to </w:t>
            </w:r>
            <w:r w:rsidR="00F046B1" w:rsidRPr="00A43E20">
              <w:rPr>
                <w:szCs w:val="24"/>
              </w:rPr>
              <w:t>comment</w:t>
            </w:r>
            <w:r w:rsidR="00F046B1" w:rsidRPr="00A43E20">
              <w:rPr>
                <w:i/>
                <w:szCs w:val="24"/>
              </w:rPr>
              <w:t xml:space="preserve"> </w:t>
            </w:r>
            <w:r w:rsidR="00F046B1" w:rsidRPr="00A43E20">
              <w:rPr>
                <w:szCs w:val="24"/>
              </w:rPr>
              <w:t>on</w:t>
            </w:r>
            <w:r w:rsidR="00EC4108" w:rsidRPr="00A43E20">
              <w:rPr>
                <w:szCs w:val="24"/>
              </w:rPr>
              <w:t xml:space="preserve"> </w:t>
            </w:r>
            <w:r w:rsidR="00BC198F" w:rsidRPr="00A43E20">
              <w:rPr>
                <w:szCs w:val="24"/>
              </w:rPr>
              <w:t xml:space="preserve">and note </w:t>
            </w:r>
            <w:r w:rsidR="00EC4108" w:rsidRPr="00A43E20">
              <w:rPr>
                <w:szCs w:val="24"/>
              </w:rPr>
              <w:t xml:space="preserve">the reported </w:t>
            </w:r>
            <w:r w:rsidR="00F046B1" w:rsidRPr="00A43E20">
              <w:rPr>
                <w:szCs w:val="24"/>
              </w:rPr>
              <w:t>performance</w:t>
            </w:r>
            <w:r w:rsidR="00F22A08" w:rsidRPr="00A43E20">
              <w:rPr>
                <w:szCs w:val="24"/>
              </w:rPr>
              <w:t xml:space="preserve"> </w:t>
            </w:r>
            <w:r w:rsidR="00263341" w:rsidRPr="00A43E20">
              <w:rPr>
                <w:szCs w:val="24"/>
              </w:rPr>
              <w:t>fo</w:t>
            </w:r>
            <w:r w:rsidR="008D2556" w:rsidRPr="00A43E20">
              <w:rPr>
                <w:szCs w:val="24"/>
              </w:rPr>
              <w:t xml:space="preserve">r quarter </w:t>
            </w:r>
            <w:r w:rsidR="00E040DB" w:rsidRPr="00A43E20">
              <w:rPr>
                <w:szCs w:val="24"/>
              </w:rPr>
              <w:t>3</w:t>
            </w:r>
            <w:r w:rsidR="00A703B8" w:rsidRPr="00A43E20">
              <w:rPr>
                <w:szCs w:val="24"/>
              </w:rPr>
              <w:t xml:space="preserve"> of 2018/19</w:t>
            </w:r>
            <w:r w:rsidR="002C01A4" w:rsidRPr="00A43E20">
              <w:rPr>
                <w:szCs w:val="24"/>
              </w:rPr>
              <w:t xml:space="preserve">. </w:t>
            </w:r>
          </w:p>
          <w:p w14:paraId="08AA892A" w14:textId="4FE923AC" w:rsidR="00B41446" w:rsidRPr="00DE1A08" w:rsidRDefault="00B41446" w:rsidP="00B41446">
            <w:pPr>
              <w:rPr>
                <w:color w:val="FF0000"/>
                <w:szCs w:val="24"/>
              </w:rPr>
            </w:pPr>
          </w:p>
        </w:tc>
      </w:tr>
    </w:tbl>
    <w:p w14:paraId="220B55D9" w14:textId="77777777" w:rsidR="00875B30" w:rsidRDefault="00875B30" w:rsidP="0091013D">
      <w:pPr>
        <w:rPr>
          <w:rFonts w:cs="Arial"/>
          <w:b/>
          <w:szCs w:val="24"/>
        </w:rPr>
      </w:pPr>
    </w:p>
    <w:p w14:paraId="2E101D81" w14:textId="77777777" w:rsidR="0091013D" w:rsidRPr="00E77EBA" w:rsidRDefault="0091013D" w:rsidP="0091013D">
      <w:pPr>
        <w:rPr>
          <w:rFonts w:cs="Arial"/>
          <w:b/>
          <w:szCs w:val="24"/>
        </w:rPr>
      </w:pPr>
      <w:r w:rsidRPr="00E77EBA">
        <w:rPr>
          <w:rFonts w:cs="Arial"/>
          <w:b/>
          <w:szCs w:val="24"/>
        </w:rPr>
        <w:t>Performance Summary</w:t>
      </w:r>
    </w:p>
    <w:p w14:paraId="3B48BAB3" w14:textId="77777777" w:rsidR="0091013D" w:rsidRPr="00E77EBA" w:rsidRDefault="0091013D" w:rsidP="0091013D">
      <w:pPr>
        <w:rPr>
          <w:rFonts w:cs="Arial"/>
          <w:b/>
          <w:szCs w:val="24"/>
        </w:rPr>
      </w:pPr>
      <w:r w:rsidRPr="00E77EBA">
        <w:rPr>
          <w:rFonts w:cs="Arial"/>
          <w:b/>
          <w:szCs w:val="24"/>
        </w:rPr>
        <w:t>Education and Children's Services</w:t>
      </w:r>
    </w:p>
    <w:p w14:paraId="702F40E3" w14:textId="77777777" w:rsidR="0091013D" w:rsidRPr="00E77EBA" w:rsidRDefault="0091013D" w:rsidP="0091013D">
      <w:pPr>
        <w:pStyle w:val="NoSpacing"/>
        <w:rPr>
          <w:rFonts w:eastAsiaTheme="minorHAnsi"/>
          <w:color w:val="0070C0"/>
        </w:rPr>
      </w:pPr>
    </w:p>
    <w:p w14:paraId="5FD938D4" w14:textId="77777777" w:rsidR="0091013D" w:rsidRPr="00E77EBA" w:rsidRDefault="0091013D" w:rsidP="0091013D">
      <w:pPr>
        <w:pStyle w:val="NoSpacing"/>
        <w:rPr>
          <w:rFonts w:eastAsiaTheme="minorHAnsi"/>
          <w:i/>
          <w:lang w:eastAsia="en-US"/>
        </w:rPr>
      </w:pPr>
      <w:r w:rsidRPr="00E77EBA">
        <w:rPr>
          <w:rFonts w:eastAsiaTheme="minorHAnsi"/>
          <w:i/>
          <w:lang w:eastAsia="en-US"/>
        </w:rPr>
        <w:t xml:space="preserve">Key for performance: </w:t>
      </w:r>
    </w:p>
    <w:tbl>
      <w:tblPr>
        <w:tblW w:w="5967" w:type="dxa"/>
        <w:tblInd w:w="-5" w:type="dxa"/>
        <w:tblLook w:val="04A0" w:firstRow="1" w:lastRow="0" w:firstColumn="1" w:lastColumn="0" w:noHBand="0" w:noVBand="1"/>
      </w:tblPr>
      <w:tblGrid>
        <w:gridCol w:w="1447"/>
        <w:gridCol w:w="2440"/>
        <w:gridCol w:w="2080"/>
      </w:tblGrid>
      <w:tr w:rsidR="00D53981" w:rsidRPr="00E77EBA" w14:paraId="2A3D8F35" w14:textId="77777777" w:rsidTr="00D53981">
        <w:trPr>
          <w:trHeight w:val="70"/>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B65FA4E" w14:textId="77777777" w:rsidR="00D53981" w:rsidRPr="00E77EBA" w:rsidRDefault="00D53981" w:rsidP="00D53981">
            <w:pPr>
              <w:rPr>
                <w:rFonts w:cs="Arial"/>
                <w:i/>
                <w:iCs/>
                <w:sz w:val="18"/>
                <w:szCs w:val="18"/>
              </w:rPr>
            </w:pPr>
            <w:r w:rsidRPr="00E77EBA">
              <w:rPr>
                <w:rFonts w:cs="Arial"/>
                <w:i/>
                <w:iCs/>
                <w:sz w:val="18"/>
                <w:szCs w:val="18"/>
              </w:rPr>
              <w:t>On track/good</w:t>
            </w:r>
          </w:p>
        </w:tc>
        <w:tc>
          <w:tcPr>
            <w:tcW w:w="2440" w:type="dxa"/>
            <w:tcBorders>
              <w:top w:val="single" w:sz="4" w:space="0" w:color="auto"/>
              <w:left w:val="nil"/>
              <w:bottom w:val="single" w:sz="4" w:space="0" w:color="auto"/>
              <w:right w:val="single" w:sz="4" w:space="0" w:color="auto"/>
            </w:tcBorders>
            <w:shd w:val="clear" w:color="000000" w:fill="F8CBAD"/>
            <w:noWrap/>
            <w:vAlign w:val="bottom"/>
            <w:hideMark/>
          </w:tcPr>
          <w:p w14:paraId="02403B49" w14:textId="77777777" w:rsidR="00D53981" w:rsidRPr="00E77EBA" w:rsidRDefault="00D53981" w:rsidP="00D53981">
            <w:pPr>
              <w:rPr>
                <w:rFonts w:cs="Arial"/>
                <w:i/>
                <w:iCs/>
                <w:sz w:val="18"/>
                <w:szCs w:val="18"/>
              </w:rPr>
            </w:pPr>
            <w:r w:rsidRPr="00E77EBA">
              <w:rPr>
                <w:rFonts w:cs="Arial"/>
                <w:i/>
                <w:iCs/>
                <w:sz w:val="18"/>
                <w:szCs w:val="18"/>
              </w:rPr>
              <w:t>Slightly below desired level</w:t>
            </w:r>
          </w:p>
        </w:tc>
        <w:tc>
          <w:tcPr>
            <w:tcW w:w="2080" w:type="dxa"/>
            <w:tcBorders>
              <w:top w:val="nil"/>
              <w:left w:val="nil"/>
              <w:bottom w:val="single" w:sz="8" w:space="0" w:color="auto"/>
              <w:right w:val="single" w:sz="8" w:space="0" w:color="auto"/>
            </w:tcBorders>
            <w:shd w:val="clear" w:color="000000" w:fill="FF0000"/>
            <w:noWrap/>
            <w:vAlign w:val="center"/>
            <w:hideMark/>
          </w:tcPr>
          <w:p w14:paraId="752F14CA" w14:textId="77777777" w:rsidR="00D53981" w:rsidRPr="00D53981" w:rsidRDefault="00CE2949" w:rsidP="00D53981">
            <w:pPr>
              <w:rPr>
                <w:rFonts w:cs="Arial"/>
                <w:i/>
                <w:color w:val="000000" w:themeColor="text1"/>
                <w:sz w:val="18"/>
                <w:szCs w:val="18"/>
              </w:rPr>
            </w:pPr>
            <w:r>
              <w:rPr>
                <w:rFonts w:cs="Arial"/>
                <w:i/>
                <w:color w:val="000000" w:themeColor="text1"/>
                <w:sz w:val="18"/>
                <w:szCs w:val="18"/>
              </w:rPr>
              <w:t>Requires</w:t>
            </w:r>
            <w:r w:rsidR="00D53981" w:rsidRPr="00D53981">
              <w:rPr>
                <w:rFonts w:cs="Arial"/>
                <w:i/>
                <w:color w:val="000000" w:themeColor="text1"/>
                <w:sz w:val="18"/>
                <w:szCs w:val="18"/>
              </w:rPr>
              <w:t xml:space="preserve"> improvemen</w:t>
            </w:r>
            <w:r>
              <w:rPr>
                <w:rFonts w:cs="Arial"/>
                <w:i/>
                <w:color w:val="000000" w:themeColor="text1"/>
                <w:sz w:val="18"/>
                <w:szCs w:val="18"/>
              </w:rPr>
              <w:t>t</w:t>
            </w:r>
          </w:p>
        </w:tc>
      </w:tr>
    </w:tbl>
    <w:p w14:paraId="16ABBE8C" w14:textId="77777777" w:rsidR="002A65C3" w:rsidRPr="00E77EBA" w:rsidRDefault="002A65C3" w:rsidP="0091013D">
      <w:pPr>
        <w:rPr>
          <w:rFonts w:eastAsiaTheme="minorHAnsi" w:cs="Arial"/>
          <w:b/>
          <w:i/>
          <w:color w:val="0070C0"/>
          <w:szCs w:val="24"/>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856"/>
        <w:gridCol w:w="1134"/>
        <w:gridCol w:w="1134"/>
        <w:gridCol w:w="1177"/>
        <w:gridCol w:w="1177"/>
        <w:gridCol w:w="901"/>
        <w:gridCol w:w="997"/>
      </w:tblGrid>
      <w:tr w:rsidR="0091013D" w:rsidRPr="00513ED1" w14:paraId="3A09D418" w14:textId="77777777" w:rsidTr="00407851">
        <w:trPr>
          <w:trHeight w:val="513"/>
        </w:trPr>
        <w:tc>
          <w:tcPr>
            <w:tcW w:w="2825" w:type="dxa"/>
            <w:shd w:val="clear" w:color="000000" w:fill="D9D9D9"/>
            <w:vAlign w:val="center"/>
            <w:hideMark/>
          </w:tcPr>
          <w:p w14:paraId="55B9AF9D" w14:textId="77777777" w:rsidR="0091013D" w:rsidRPr="00513ED1" w:rsidRDefault="0091013D" w:rsidP="0091013D">
            <w:pPr>
              <w:rPr>
                <w:rFonts w:cs="Arial"/>
                <w:b/>
                <w:bCs/>
                <w:sz w:val="18"/>
                <w:szCs w:val="18"/>
              </w:rPr>
            </w:pPr>
            <w:r w:rsidRPr="00513ED1">
              <w:rPr>
                <w:rFonts w:cs="Arial"/>
                <w:b/>
                <w:bCs/>
                <w:sz w:val="18"/>
                <w:szCs w:val="18"/>
              </w:rPr>
              <w:t>Performance Measure</w:t>
            </w:r>
          </w:p>
        </w:tc>
        <w:tc>
          <w:tcPr>
            <w:tcW w:w="856" w:type="dxa"/>
            <w:shd w:val="clear" w:color="000000" w:fill="D9D9D9"/>
            <w:vAlign w:val="center"/>
            <w:hideMark/>
          </w:tcPr>
          <w:p w14:paraId="4F930110" w14:textId="77777777" w:rsidR="0091013D" w:rsidRPr="00513ED1" w:rsidRDefault="0091013D" w:rsidP="0091013D">
            <w:pPr>
              <w:jc w:val="center"/>
              <w:rPr>
                <w:rFonts w:cs="Arial"/>
                <w:b/>
                <w:bCs/>
                <w:sz w:val="18"/>
                <w:szCs w:val="18"/>
              </w:rPr>
            </w:pPr>
            <w:r w:rsidRPr="00513ED1">
              <w:rPr>
                <w:rFonts w:cs="Arial"/>
                <w:b/>
                <w:bCs/>
                <w:sz w:val="18"/>
                <w:szCs w:val="18"/>
              </w:rPr>
              <w:t>Good is High or Low</w:t>
            </w:r>
          </w:p>
        </w:tc>
        <w:tc>
          <w:tcPr>
            <w:tcW w:w="1134" w:type="dxa"/>
            <w:shd w:val="clear" w:color="000000" w:fill="D9D9D9"/>
            <w:noWrap/>
            <w:vAlign w:val="center"/>
            <w:hideMark/>
          </w:tcPr>
          <w:p w14:paraId="559C9349" w14:textId="77777777" w:rsidR="0091013D" w:rsidRPr="00513ED1" w:rsidRDefault="0091013D" w:rsidP="0091013D">
            <w:pPr>
              <w:jc w:val="center"/>
              <w:rPr>
                <w:rFonts w:cs="Arial"/>
                <w:b/>
                <w:bCs/>
                <w:sz w:val="18"/>
                <w:szCs w:val="18"/>
              </w:rPr>
            </w:pPr>
            <w:r w:rsidRPr="00513ED1">
              <w:rPr>
                <w:rFonts w:cs="Arial"/>
                <w:b/>
                <w:bCs/>
                <w:sz w:val="18"/>
                <w:szCs w:val="18"/>
              </w:rPr>
              <w:t>2016/17</w:t>
            </w:r>
          </w:p>
        </w:tc>
        <w:tc>
          <w:tcPr>
            <w:tcW w:w="1134" w:type="dxa"/>
            <w:shd w:val="clear" w:color="000000" w:fill="D9D9D9"/>
            <w:vAlign w:val="center"/>
          </w:tcPr>
          <w:p w14:paraId="72CB3481" w14:textId="77777777" w:rsidR="0091013D" w:rsidRPr="00513ED1" w:rsidRDefault="0091013D" w:rsidP="0091013D">
            <w:pPr>
              <w:jc w:val="center"/>
              <w:rPr>
                <w:rFonts w:cs="Arial"/>
                <w:b/>
                <w:bCs/>
                <w:sz w:val="18"/>
                <w:szCs w:val="18"/>
              </w:rPr>
            </w:pPr>
            <w:r w:rsidRPr="00513ED1">
              <w:rPr>
                <w:rFonts w:cs="Arial"/>
                <w:b/>
                <w:bCs/>
                <w:sz w:val="18"/>
                <w:szCs w:val="18"/>
              </w:rPr>
              <w:t>2017/18</w:t>
            </w:r>
          </w:p>
        </w:tc>
        <w:tc>
          <w:tcPr>
            <w:tcW w:w="1177" w:type="dxa"/>
            <w:shd w:val="clear" w:color="000000" w:fill="D9D9D9"/>
            <w:vAlign w:val="center"/>
          </w:tcPr>
          <w:p w14:paraId="78AA22A9" w14:textId="77777777" w:rsidR="0091013D" w:rsidRPr="00513ED1" w:rsidRDefault="0091013D" w:rsidP="0091013D">
            <w:pPr>
              <w:jc w:val="center"/>
              <w:rPr>
                <w:rFonts w:cs="Arial"/>
                <w:b/>
                <w:bCs/>
                <w:sz w:val="18"/>
                <w:szCs w:val="18"/>
              </w:rPr>
            </w:pPr>
            <w:r>
              <w:rPr>
                <w:rFonts w:cs="Arial"/>
                <w:b/>
                <w:bCs/>
                <w:sz w:val="18"/>
                <w:szCs w:val="18"/>
              </w:rPr>
              <w:t xml:space="preserve">Q1 </w:t>
            </w:r>
            <w:r w:rsidRPr="004D5AE2">
              <w:rPr>
                <w:rFonts w:cs="Arial"/>
                <w:b/>
                <w:bCs/>
                <w:sz w:val="18"/>
                <w:szCs w:val="18"/>
              </w:rPr>
              <w:t xml:space="preserve">18/19 </w:t>
            </w:r>
          </w:p>
        </w:tc>
        <w:tc>
          <w:tcPr>
            <w:tcW w:w="1177" w:type="dxa"/>
            <w:shd w:val="clear" w:color="000000" w:fill="D9D9D9"/>
          </w:tcPr>
          <w:p w14:paraId="32009984" w14:textId="77777777" w:rsidR="0091013D" w:rsidRDefault="0091013D" w:rsidP="0091013D">
            <w:pPr>
              <w:jc w:val="center"/>
              <w:rPr>
                <w:rFonts w:cs="Arial"/>
                <w:b/>
                <w:bCs/>
                <w:sz w:val="18"/>
                <w:szCs w:val="18"/>
              </w:rPr>
            </w:pPr>
          </w:p>
          <w:p w14:paraId="5C0E3AFD" w14:textId="77777777" w:rsidR="0091013D" w:rsidRPr="004D5AE2" w:rsidRDefault="0091013D" w:rsidP="0091013D">
            <w:pPr>
              <w:jc w:val="center"/>
              <w:rPr>
                <w:rFonts w:cs="Arial"/>
                <w:b/>
                <w:bCs/>
                <w:sz w:val="18"/>
                <w:szCs w:val="18"/>
              </w:rPr>
            </w:pPr>
            <w:r w:rsidRPr="008C2B9A">
              <w:rPr>
                <w:rFonts w:cs="Arial"/>
                <w:b/>
                <w:bCs/>
                <w:sz w:val="18"/>
                <w:szCs w:val="18"/>
              </w:rPr>
              <w:t>Q2 18/19</w:t>
            </w:r>
          </w:p>
        </w:tc>
        <w:tc>
          <w:tcPr>
            <w:tcW w:w="901" w:type="dxa"/>
            <w:shd w:val="clear" w:color="000000" w:fill="D9D9D9"/>
            <w:vAlign w:val="center"/>
          </w:tcPr>
          <w:p w14:paraId="28F9D42D" w14:textId="77777777" w:rsidR="0091013D" w:rsidRPr="004C1840" w:rsidRDefault="0091013D" w:rsidP="0091013D">
            <w:pPr>
              <w:jc w:val="center"/>
              <w:rPr>
                <w:rFonts w:cs="Arial"/>
                <w:b/>
                <w:bCs/>
                <w:color w:val="000000" w:themeColor="text1"/>
                <w:sz w:val="18"/>
                <w:szCs w:val="18"/>
              </w:rPr>
            </w:pPr>
            <w:r w:rsidRPr="004C1840">
              <w:rPr>
                <w:rFonts w:cs="Arial"/>
                <w:b/>
                <w:bCs/>
                <w:color w:val="000000" w:themeColor="text1"/>
                <w:sz w:val="18"/>
                <w:szCs w:val="18"/>
              </w:rPr>
              <w:t>Q3 18/19</w:t>
            </w:r>
          </w:p>
        </w:tc>
        <w:tc>
          <w:tcPr>
            <w:tcW w:w="997" w:type="dxa"/>
            <w:shd w:val="clear" w:color="000000" w:fill="D9D9D9"/>
            <w:vAlign w:val="center"/>
          </w:tcPr>
          <w:p w14:paraId="134D9B24" w14:textId="77777777" w:rsidR="0091013D" w:rsidRPr="004C1840" w:rsidRDefault="0091013D" w:rsidP="0091013D">
            <w:pPr>
              <w:jc w:val="center"/>
              <w:rPr>
                <w:rFonts w:cs="Arial"/>
                <w:b/>
                <w:bCs/>
                <w:color w:val="000000" w:themeColor="text1"/>
                <w:sz w:val="18"/>
                <w:szCs w:val="18"/>
              </w:rPr>
            </w:pPr>
            <w:r w:rsidRPr="004C1840">
              <w:rPr>
                <w:rFonts w:cs="Arial"/>
                <w:b/>
                <w:bCs/>
                <w:color w:val="000000" w:themeColor="text1"/>
                <w:sz w:val="18"/>
                <w:szCs w:val="18"/>
              </w:rPr>
              <w:t>England</w:t>
            </w:r>
          </w:p>
          <w:p w14:paraId="234570EC" w14:textId="77777777" w:rsidR="0091013D" w:rsidRPr="004C1840" w:rsidRDefault="0091013D" w:rsidP="0091013D">
            <w:pPr>
              <w:jc w:val="center"/>
              <w:rPr>
                <w:rFonts w:cs="Arial"/>
                <w:b/>
                <w:bCs/>
                <w:color w:val="000000" w:themeColor="text1"/>
                <w:sz w:val="18"/>
                <w:szCs w:val="18"/>
              </w:rPr>
            </w:pPr>
            <w:r w:rsidRPr="004C1840">
              <w:rPr>
                <w:rFonts w:cs="Arial"/>
                <w:b/>
                <w:bCs/>
                <w:color w:val="000000" w:themeColor="text1"/>
                <w:sz w:val="18"/>
                <w:szCs w:val="18"/>
              </w:rPr>
              <w:t>Average</w:t>
            </w:r>
          </w:p>
        </w:tc>
      </w:tr>
      <w:tr w:rsidR="0091013D" w:rsidRPr="00513ED1" w14:paraId="5DBC5AB8" w14:textId="77777777" w:rsidTr="00407851">
        <w:trPr>
          <w:trHeight w:val="161"/>
        </w:trPr>
        <w:tc>
          <w:tcPr>
            <w:tcW w:w="10201" w:type="dxa"/>
            <w:gridSpan w:val="8"/>
            <w:shd w:val="clear" w:color="000000" w:fill="D9D9D9"/>
          </w:tcPr>
          <w:p w14:paraId="261A65B3" w14:textId="77777777" w:rsidR="0091013D" w:rsidRPr="00513ED1" w:rsidRDefault="0091013D" w:rsidP="0091013D">
            <w:pPr>
              <w:rPr>
                <w:rFonts w:cs="Arial"/>
                <w:b/>
                <w:bCs/>
                <w:sz w:val="18"/>
                <w:szCs w:val="18"/>
              </w:rPr>
            </w:pPr>
            <w:r w:rsidRPr="00513ED1">
              <w:rPr>
                <w:rFonts w:cs="Arial"/>
                <w:b/>
                <w:bCs/>
                <w:sz w:val="18"/>
                <w:szCs w:val="18"/>
              </w:rPr>
              <w:t>Children's Social Care</w:t>
            </w:r>
          </w:p>
        </w:tc>
      </w:tr>
      <w:tr w:rsidR="0091013D" w:rsidRPr="00513ED1" w14:paraId="47D1AD05" w14:textId="77777777" w:rsidTr="00407851">
        <w:trPr>
          <w:trHeight w:val="115"/>
        </w:trPr>
        <w:tc>
          <w:tcPr>
            <w:tcW w:w="2825" w:type="dxa"/>
            <w:shd w:val="clear" w:color="auto" w:fill="auto"/>
            <w:vAlign w:val="center"/>
            <w:hideMark/>
          </w:tcPr>
          <w:p w14:paraId="1DF124C1" w14:textId="77777777" w:rsidR="0091013D" w:rsidRPr="00513ED1" w:rsidRDefault="0091013D" w:rsidP="00FE2C99">
            <w:pPr>
              <w:rPr>
                <w:rFonts w:cs="Arial"/>
                <w:sz w:val="18"/>
                <w:szCs w:val="18"/>
              </w:rPr>
            </w:pPr>
            <w:r w:rsidRPr="00513ED1">
              <w:rPr>
                <w:rFonts w:cs="Arial"/>
                <w:sz w:val="18"/>
                <w:szCs w:val="18"/>
              </w:rPr>
              <w:t>Number and rate of referrals during the year</w:t>
            </w:r>
          </w:p>
        </w:tc>
        <w:tc>
          <w:tcPr>
            <w:tcW w:w="856" w:type="dxa"/>
            <w:shd w:val="clear" w:color="auto" w:fill="auto"/>
            <w:vAlign w:val="center"/>
            <w:hideMark/>
          </w:tcPr>
          <w:p w14:paraId="471BC6C5" w14:textId="77777777" w:rsidR="0091013D" w:rsidRPr="00513ED1" w:rsidRDefault="0091013D" w:rsidP="00FE2C99">
            <w:pPr>
              <w:jc w:val="center"/>
              <w:rPr>
                <w:rFonts w:cs="Arial"/>
                <w:sz w:val="18"/>
                <w:szCs w:val="18"/>
              </w:rPr>
            </w:pPr>
            <w:r w:rsidRPr="00513ED1">
              <w:rPr>
                <w:rFonts w:cs="Arial"/>
                <w:sz w:val="18"/>
                <w:szCs w:val="18"/>
              </w:rPr>
              <w:t>L</w:t>
            </w:r>
          </w:p>
        </w:tc>
        <w:tc>
          <w:tcPr>
            <w:tcW w:w="1134" w:type="dxa"/>
            <w:shd w:val="clear" w:color="000000" w:fill="FFFFFF"/>
            <w:noWrap/>
            <w:vAlign w:val="center"/>
            <w:hideMark/>
          </w:tcPr>
          <w:p w14:paraId="0FA5586C" w14:textId="77777777" w:rsidR="0091013D" w:rsidRDefault="0091013D" w:rsidP="00FE2C99">
            <w:pPr>
              <w:jc w:val="center"/>
              <w:rPr>
                <w:rFonts w:cs="Arial"/>
                <w:sz w:val="18"/>
                <w:szCs w:val="18"/>
              </w:rPr>
            </w:pPr>
            <w:r w:rsidRPr="00513ED1">
              <w:rPr>
                <w:rFonts w:cs="Arial"/>
                <w:sz w:val="18"/>
                <w:szCs w:val="18"/>
              </w:rPr>
              <w:t>9,907/</w:t>
            </w:r>
          </w:p>
          <w:p w14:paraId="553DED71" w14:textId="77777777" w:rsidR="0091013D" w:rsidRPr="00513ED1" w:rsidRDefault="0091013D" w:rsidP="00FE2C99">
            <w:pPr>
              <w:jc w:val="center"/>
              <w:rPr>
                <w:rFonts w:cs="Arial"/>
                <w:sz w:val="18"/>
                <w:szCs w:val="18"/>
              </w:rPr>
            </w:pPr>
            <w:r w:rsidRPr="00513ED1">
              <w:rPr>
                <w:rFonts w:cs="Arial"/>
                <w:sz w:val="18"/>
                <w:szCs w:val="18"/>
              </w:rPr>
              <w:t>403.9</w:t>
            </w:r>
          </w:p>
        </w:tc>
        <w:tc>
          <w:tcPr>
            <w:tcW w:w="1134" w:type="dxa"/>
            <w:shd w:val="clear" w:color="auto" w:fill="FFFFFF"/>
            <w:vAlign w:val="center"/>
          </w:tcPr>
          <w:p w14:paraId="43CAE975" w14:textId="77777777" w:rsidR="0091013D" w:rsidRDefault="0091013D" w:rsidP="00FE2C99">
            <w:pPr>
              <w:jc w:val="center"/>
              <w:rPr>
                <w:sz w:val="18"/>
                <w:szCs w:val="18"/>
              </w:rPr>
            </w:pPr>
            <w:r w:rsidRPr="00513ED1">
              <w:rPr>
                <w:sz w:val="18"/>
                <w:szCs w:val="18"/>
              </w:rPr>
              <w:t>10,337/</w:t>
            </w:r>
          </w:p>
          <w:p w14:paraId="5A6B0C70" w14:textId="77777777" w:rsidR="0091013D" w:rsidRPr="00513ED1" w:rsidRDefault="0091013D" w:rsidP="00FE2C99">
            <w:pPr>
              <w:jc w:val="center"/>
              <w:rPr>
                <w:sz w:val="18"/>
                <w:szCs w:val="18"/>
              </w:rPr>
            </w:pPr>
            <w:r w:rsidRPr="00513ED1">
              <w:rPr>
                <w:sz w:val="18"/>
                <w:szCs w:val="18"/>
              </w:rPr>
              <w:t>419.4</w:t>
            </w:r>
          </w:p>
        </w:tc>
        <w:tc>
          <w:tcPr>
            <w:tcW w:w="1177" w:type="dxa"/>
            <w:shd w:val="clear" w:color="auto" w:fill="auto"/>
            <w:vAlign w:val="center"/>
          </w:tcPr>
          <w:p w14:paraId="57C903D8" w14:textId="77777777" w:rsidR="0091013D" w:rsidRPr="005B1C0C" w:rsidRDefault="0091013D" w:rsidP="00FE2C99">
            <w:pPr>
              <w:jc w:val="center"/>
              <w:rPr>
                <w:sz w:val="18"/>
                <w:szCs w:val="18"/>
              </w:rPr>
            </w:pPr>
            <w:r w:rsidRPr="005B1C0C">
              <w:rPr>
                <w:sz w:val="18"/>
                <w:szCs w:val="18"/>
              </w:rPr>
              <w:t>3,377/</w:t>
            </w:r>
          </w:p>
          <w:p w14:paraId="55A56988" w14:textId="77777777" w:rsidR="0091013D" w:rsidRPr="00513ED1" w:rsidRDefault="0091013D" w:rsidP="00FE2C99">
            <w:pPr>
              <w:jc w:val="center"/>
              <w:rPr>
                <w:sz w:val="18"/>
                <w:szCs w:val="18"/>
              </w:rPr>
            </w:pPr>
            <w:r w:rsidRPr="005B1C0C">
              <w:rPr>
                <w:sz w:val="18"/>
                <w:szCs w:val="18"/>
              </w:rPr>
              <w:t>136.8</w:t>
            </w:r>
          </w:p>
        </w:tc>
        <w:tc>
          <w:tcPr>
            <w:tcW w:w="1177" w:type="dxa"/>
            <w:vAlign w:val="center"/>
          </w:tcPr>
          <w:p w14:paraId="45CE6E1B" w14:textId="77777777" w:rsidR="0091013D" w:rsidRPr="005B1C0C" w:rsidRDefault="0091013D" w:rsidP="00FE2C99">
            <w:pPr>
              <w:jc w:val="center"/>
              <w:rPr>
                <w:sz w:val="18"/>
                <w:szCs w:val="18"/>
              </w:rPr>
            </w:pPr>
            <w:r>
              <w:rPr>
                <w:sz w:val="18"/>
                <w:szCs w:val="18"/>
              </w:rPr>
              <w:t>2,605</w:t>
            </w:r>
            <w:r w:rsidRPr="005B1C0C">
              <w:rPr>
                <w:sz w:val="18"/>
                <w:szCs w:val="18"/>
              </w:rPr>
              <w:t>/</w:t>
            </w:r>
          </w:p>
          <w:p w14:paraId="1B62EAA3" w14:textId="77777777" w:rsidR="0091013D" w:rsidRPr="00C01035" w:rsidRDefault="0091013D" w:rsidP="00FE2C99">
            <w:pPr>
              <w:jc w:val="center"/>
              <w:rPr>
                <w:color w:val="000000" w:themeColor="text1"/>
                <w:sz w:val="18"/>
                <w:szCs w:val="18"/>
              </w:rPr>
            </w:pPr>
            <w:r w:rsidRPr="005B1C0C">
              <w:rPr>
                <w:sz w:val="18"/>
                <w:szCs w:val="18"/>
              </w:rPr>
              <w:t>1</w:t>
            </w:r>
            <w:r>
              <w:rPr>
                <w:sz w:val="18"/>
                <w:szCs w:val="18"/>
              </w:rPr>
              <w:t>05.1</w:t>
            </w:r>
          </w:p>
        </w:tc>
        <w:tc>
          <w:tcPr>
            <w:tcW w:w="901" w:type="dxa"/>
            <w:shd w:val="clear" w:color="auto" w:fill="FFFFFF"/>
            <w:vAlign w:val="center"/>
          </w:tcPr>
          <w:p w14:paraId="3CD0271D" w14:textId="77777777" w:rsidR="0091013D" w:rsidRDefault="0091013D" w:rsidP="00FE2C99">
            <w:pPr>
              <w:jc w:val="center"/>
              <w:rPr>
                <w:color w:val="000000" w:themeColor="text1"/>
                <w:sz w:val="18"/>
                <w:szCs w:val="18"/>
              </w:rPr>
            </w:pPr>
            <w:r>
              <w:rPr>
                <w:color w:val="000000" w:themeColor="text1"/>
                <w:sz w:val="18"/>
                <w:szCs w:val="18"/>
              </w:rPr>
              <w:t>2482/</w:t>
            </w:r>
          </w:p>
          <w:p w14:paraId="18794A58" w14:textId="77777777" w:rsidR="0091013D" w:rsidRPr="004C223D" w:rsidRDefault="0091013D" w:rsidP="00FE2C99">
            <w:pPr>
              <w:jc w:val="center"/>
              <w:rPr>
                <w:color w:val="000000" w:themeColor="text1"/>
                <w:sz w:val="18"/>
                <w:szCs w:val="18"/>
              </w:rPr>
            </w:pPr>
            <w:r>
              <w:rPr>
                <w:color w:val="000000" w:themeColor="text1"/>
                <w:sz w:val="18"/>
                <w:szCs w:val="18"/>
              </w:rPr>
              <w:t>100.0</w:t>
            </w:r>
          </w:p>
        </w:tc>
        <w:tc>
          <w:tcPr>
            <w:tcW w:w="997" w:type="dxa"/>
            <w:shd w:val="clear" w:color="auto" w:fill="FFFFFF"/>
            <w:vAlign w:val="center"/>
          </w:tcPr>
          <w:p w14:paraId="0025DE66" w14:textId="77777777" w:rsidR="0091013D" w:rsidRPr="004C1840" w:rsidRDefault="0091013D" w:rsidP="00FE2C99">
            <w:pPr>
              <w:jc w:val="center"/>
              <w:rPr>
                <w:rFonts w:cs="Arial"/>
                <w:color w:val="000000" w:themeColor="text1"/>
                <w:sz w:val="18"/>
                <w:szCs w:val="18"/>
              </w:rPr>
            </w:pPr>
            <w:r w:rsidRPr="004C1840">
              <w:rPr>
                <w:color w:val="000000" w:themeColor="text1"/>
                <w:sz w:val="18"/>
                <w:szCs w:val="18"/>
              </w:rPr>
              <w:t>552.5</w:t>
            </w:r>
          </w:p>
        </w:tc>
      </w:tr>
      <w:tr w:rsidR="0091013D" w:rsidRPr="00513ED1" w14:paraId="5FAB2107" w14:textId="77777777" w:rsidTr="00407851">
        <w:trPr>
          <w:trHeight w:val="513"/>
        </w:trPr>
        <w:tc>
          <w:tcPr>
            <w:tcW w:w="2825" w:type="dxa"/>
            <w:shd w:val="clear" w:color="auto" w:fill="auto"/>
            <w:vAlign w:val="center"/>
            <w:hideMark/>
          </w:tcPr>
          <w:p w14:paraId="51E77AF9" w14:textId="77777777" w:rsidR="0091013D" w:rsidRPr="00513ED1" w:rsidRDefault="0091013D" w:rsidP="00FE2C99">
            <w:pPr>
              <w:rPr>
                <w:rFonts w:cs="Arial"/>
                <w:sz w:val="18"/>
                <w:szCs w:val="18"/>
              </w:rPr>
            </w:pPr>
            <w:r w:rsidRPr="00513ED1">
              <w:rPr>
                <w:rFonts w:cs="Arial"/>
                <w:sz w:val="18"/>
                <w:szCs w:val="18"/>
              </w:rPr>
              <w:t>Number and percentage of referrals that are re-referrals during the year</w:t>
            </w:r>
          </w:p>
        </w:tc>
        <w:tc>
          <w:tcPr>
            <w:tcW w:w="856" w:type="dxa"/>
            <w:shd w:val="clear" w:color="auto" w:fill="auto"/>
            <w:vAlign w:val="center"/>
            <w:hideMark/>
          </w:tcPr>
          <w:p w14:paraId="386588BC" w14:textId="77777777" w:rsidR="0091013D" w:rsidRPr="00513ED1" w:rsidRDefault="0091013D" w:rsidP="00FE2C99">
            <w:pPr>
              <w:jc w:val="center"/>
              <w:rPr>
                <w:rFonts w:cs="Arial"/>
                <w:sz w:val="18"/>
                <w:szCs w:val="18"/>
              </w:rPr>
            </w:pPr>
            <w:r w:rsidRPr="00513ED1">
              <w:rPr>
                <w:rFonts w:cs="Arial"/>
                <w:sz w:val="18"/>
                <w:szCs w:val="18"/>
              </w:rPr>
              <w:t>L</w:t>
            </w:r>
          </w:p>
        </w:tc>
        <w:tc>
          <w:tcPr>
            <w:tcW w:w="1134" w:type="dxa"/>
            <w:shd w:val="clear" w:color="000000" w:fill="FFFFFF"/>
            <w:noWrap/>
            <w:vAlign w:val="center"/>
            <w:hideMark/>
          </w:tcPr>
          <w:p w14:paraId="2A3B6BD1" w14:textId="77777777" w:rsidR="0091013D" w:rsidRDefault="0091013D" w:rsidP="00FE2C99">
            <w:pPr>
              <w:jc w:val="center"/>
              <w:rPr>
                <w:rFonts w:cs="Arial"/>
                <w:sz w:val="18"/>
                <w:szCs w:val="18"/>
              </w:rPr>
            </w:pPr>
            <w:r w:rsidRPr="00513ED1">
              <w:rPr>
                <w:rFonts w:cs="Arial"/>
                <w:sz w:val="18"/>
                <w:szCs w:val="18"/>
              </w:rPr>
              <w:t>1,890/</w:t>
            </w:r>
          </w:p>
          <w:p w14:paraId="44A3EA65" w14:textId="77777777" w:rsidR="0091013D" w:rsidRPr="00513ED1" w:rsidRDefault="0091013D" w:rsidP="00FE2C99">
            <w:pPr>
              <w:jc w:val="center"/>
              <w:rPr>
                <w:rFonts w:cs="Arial"/>
                <w:sz w:val="18"/>
                <w:szCs w:val="18"/>
              </w:rPr>
            </w:pPr>
            <w:r w:rsidRPr="00513ED1">
              <w:rPr>
                <w:rFonts w:cs="Arial"/>
                <w:sz w:val="18"/>
                <w:szCs w:val="18"/>
              </w:rPr>
              <w:t>19.0%</w:t>
            </w:r>
          </w:p>
        </w:tc>
        <w:tc>
          <w:tcPr>
            <w:tcW w:w="1134" w:type="dxa"/>
            <w:shd w:val="clear" w:color="auto" w:fill="FFFFFF"/>
            <w:vAlign w:val="center"/>
          </w:tcPr>
          <w:p w14:paraId="5F640ABE" w14:textId="77777777" w:rsidR="0091013D" w:rsidRDefault="0091013D" w:rsidP="00FE2C99">
            <w:pPr>
              <w:jc w:val="center"/>
              <w:rPr>
                <w:sz w:val="18"/>
                <w:szCs w:val="18"/>
              </w:rPr>
            </w:pPr>
            <w:r w:rsidRPr="00513ED1">
              <w:rPr>
                <w:sz w:val="18"/>
                <w:szCs w:val="18"/>
              </w:rPr>
              <w:t>1,937/</w:t>
            </w:r>
          </w:p>
          <w:p w14:paraId="1BFD0400" w14:textId="77777777" w:rsidR="0091013D" w:rsidRPr="00513ED1" w:rsidRDefault="0091013D" w:rsidP="00FE2C99">
            <w:pPr>
              <w:jc w:val="center"/>
              <w:rPr>
                <w:sz w:val="18"/>
                <w:szCs w:val="18"/>
              </w:rPr>
            </w:pPr>
            <w:r w:rsidRPr="00513ED1">
              <w:rPr>
                <w:sz w:val="18"/>
                <w:szCs w:val="18"/>
              </w:rPr>
              <w:t>19.0%</w:t>
            </w:r>
          </w:p>
        </w:tc>
        <w:tc>
          <w:tcPr>
            <w:tcW w:w="1177" w:type="dxa"/>
            <w:shd w:val="clear" w:color="auto" w:fill="auto"/>
            <w:vAlign w:val="center"/>
          </w:tcPr>
          <w:p w14:paraId="548F39D5" w14:textId="77777777" w:rsidR="0091013D" w:rsidRPr="005B1C0C" w:rsidRDefault="0091013D" w:rsidP="00FE2C99">
            <w:pPr>
              <w:jc w:val="center"/>
              <w:rPr>
                <w:sz w:val="18"/>
                <w:szCs w:val="18"/>
              </w:rPr>
            </w:pPr>
            <w:r>
              <w:rPr>
                <w:sz w:val="18"/>
                <w:szCs w:val="18"/>
              </w:rPr>
              <w:t>660/19.5%</w:t>
            </w:r>
          </w:p>
        </w:tc>
        <w:tc>
          <w:tcPr>
            <w:tcW w:w="1177" w:type="dxa"/>
            <w:shd w:val="clear" w:color="auto" w:fill="FFFFFF" w:themeFill="background1"/>
            <w:vAlign w:val="center"/>
          </w:tcPr>
          <w:p w14:paraId="15AA854F" w14:textId="77777777" w:rsidR="0091013D" w:rsidRPr="00C01035" w:rsidRDefault="0091013D" w:rsidP="00FE2C99">
            <w:pPr>
              <w:jc w:val="center"/>
              <w:rPr>
                <w:color w:val="000000" w:themeColor="text1"/>
                <w:sz w:val="18"/>
                <w:szCs w:val="18"/>
              </w:rPr>
            </w:pPr>
            <w:r>
              <w:rPr>
                <w:color w:val="000000" w:themeColor="text1"/>
                <w:sz w:val="18"/>
                <w:szCs w:val="18"/>
              </w:rPr>
              <w:t>568/21.8%</w:t>
            </w:r>
          </w:p>
        </w:tc>
        <w:tc>
          <w:tcPr>
            <w:tcW w:w="901" w:type="dxa"/>
            <w:shd w:val="clear" w:color="auto" w:fill="F7CAAC" w:themeFill="accent2" w:themeFillTint="66"/>
            <w:vAlign w:val="center"/>
          </w:tcPr>
          <w:p w14:paraId="49C8F4E0" w14:textId="77777777" w:rsidR="0091013D" w:rsidRDefault="0091013D" w:rsidP="00FE2C99">
            <w:pPr>
              <w:jc w:val="center"/>
              <w:rPr>
                <w:color w:val="000000" w:themeColor="text1"/>
                <w:sz w:val="18"/>
                <w:szCs w:val="18"/>
              </w:rPr>
            </w:pPr>
            <w:r>
              <w:rPr>
                <w:color w:val="000000" w:themeColor="text1"/>
                <w:sz w:val="18"/>
                <w:szCs w:val="18"/>
              </w:rPr>
              <w:t>511/</w:t>
            </w:r>
          </w:p>
          <w:p w14:paraId="3D6712A9" w14:textId="77777777" w:rsidR="0091013D" w:rsidRPr="004C223D" w:rsidRDefault="0091013D" w:rsidP="00FE2C99">
            <w:pPr>
              <w:jc w:val="center"/>
              <w:rPr>
                <w:color w:val="000000" w:themeColor="text1"/>
                <w:sz w:val="18"/>
                <w:szCs w:val="18"/>
              </w:rPr>
            </w:pPr>
            <w:r>
              <w:rPr>
                <w:color w:val="000000" w:themeColor="text1"/>
                <w:sz w:val="18"/>
                <w:szCs w:val="18"/>
              </w:rPr>
              <w:t>20.5%</w:t>
            </w:r>
          </w:p>
        </w:tc>
        <w:tc>
          <w:tcPr>
            <w:tcW w:w="997" w:type="dxa"/>
            <w:shd w:val="clear" w:color="auto" w:fill="FFFFFF"/>
            <w:vAlign w:val="center"/>
          </w:tcPr>
          <w:p w14:paraId="3643BCB4" w14:textId="77777777" w:rsidR="0091013D" w:rsidRPr="004C1840" w:rsidRDefault="0091013D" w:rsidP="00FE2C99">
            <w:pPr>
              <w:jc w:val="center"/>
              <w:rPr>
                <w:rFonts w:cs="Arial"/>
                <w:color w:val="000000" w:themeColor="text1"/>
                <w:sz w:val="18"/>
                <w:szCs w:val="18"/>
              </w:rPr>
            </w:pPr>
            <w:r w:rsidRPr="004C1840">
              <w:rPr>
                <w:color w:val="000000" w:themeColor="text1"/>
                <w:sz w:val="18"/>
                <w:szCs w:val="18"/>
              </w:rPr>
              <w:t>21.9%</w:t>
            </w:r>
          </w:p>
        </w:tc>
      </w:tr>
      <w:tr w:rsidR="00D53981" w:rsidRPr="00513ED1" w14:paraId="429BC7E5" w14:textId="77777777" w:rsidTr="00407851">
        <w:trPr>
          <w:trHeight w:val="142"/>
        </w:trPr>
        <w:tc>
          <w:tcPr>
            <w:tcW w:w="2825" w:type="dxa"/>
            <w:shd w:val="clear" w:color="auto" w:fill="auto"/>
            <w:vAlign w:val="center"/>
            <w:hideMark/>
          </w:tcPr>
          <w:p w14:paraId="431EE900" w14:textId="77777777" w:rsidR="00D53981" w:rsidRPr="00513ED1" w:rsidRDefault="00D53981" w:rsidP="00FE2C99">
            <w:pPr>
              <w:rPr>
                <w:rFonts w:cs="Arial"/>
                <w:sz w:val="18"/>
                <w:szCs w:val="18"/>
              </w:rPr>
            </w:pPr>
            <w:r w:rsidRPr="00513ED1">
              <w:rPr>
                <w:rFonts w:cs="Arial"/>
                <w:sz w:val="18"/>
                <w:szCs w:val="18"/>
              </w:rPr>
              <w:t xml:space="preserve">Percentage of assessments completed during the year which took over 45 days </w:t>
            </w:r>
          </w:p>
        </w:tc>
        <w:tc>
          <w:tcPr>
            <w:tcW w:w="856" w:type="dxa"/>
            <w:shd w:val="clear" w:color="auto" w:fill="auto"/>
            <w:vAlign w:val="center"/>
            <w:hideMark/>
          </w:tcPr>
          <w:p w14:paraId="13DD8E94" w14:textId="77777777" w:rsidR="00D53981" w:rsidRPr="00513ED1" w:rsidRDefault="00D53981" w:rsidP="00FE2C99">
            <w:pPr>
              <w:jc w:val="center"/>
              <w:rPr>
                <w:rFonts w:cs="Arial"/>
                <w:sz w:val="18"/>
                <w:szCs w:val="18"/>
              </w:rPr>
            </w:pPr>
            <w:r w:rsidRPr="00513ED1">
              <w:rPr>
                <w:rFonts w:cs="Arial"/>
                <w:sz w:val="18"/>
                <w:szCs w:val="18"/>
              </w:rPr>
              <w:t>L</w:t>
            </w:r>
          </w:p>
        </w:tc>
        <w:tc>
          <w:tcPr>
            <w:tcW w:w="1134" w:type="dxa"/>
            <w:shd w:val="clear" w:color="000000" w:fill="FFFFFF"/>
            <w:noWrap/>
            <w:vAlign w:val="center"/>
            <w:hideMark/>
          </w:tcPr>
          <w:p w14:paraId="35B3749F" w14:textId="77777777" w:rsidR="00D53981" w:rsidRPr="00513ED1" w:rsidRDefault="00D53981" w:rsidP="00FE2C99">
            <w:pPr>
              <w:jc w:val="center"/>
              <w:rPr>
                <w:rFonts w:cs="Arial"/>
                <w:sz w:val="18"/>
                <w:szCs w:val="18"/>
              </w:rPr>
            </w:pPr>
            <w:r w:rsidRPr="00513ED1">
              <w:rPr>
                <w:rFonts w:cs="Arial"/>
                <w:sz w:val="18"/>
                <w:szCs w:val="18"/>
              </w:rPr>
              <w:t>26.9%</w:t>
            </w:r>
          </w:p>
        </w:tc>
        <w:tc>
          <w:tcPr>
            <w:tcW w:w="1134" w:type="dxa"/>
            <w:shd w:val="clear" w:color="auto" w:fill="FFFFFF"/>
            <w:vAlign w:val="center"/>
          </w:tcPr>
          <w:p w14:paraId="408DBBB9" w14:textId="77777777" w:rsidR="00D53981" w:rsidRPr="00513ED1" w:rsidRDefault="00D53981" w:rsidP="00FE2C99">
            <w:pPr>
              <w:jc w:val="center"/>
              <w:rPr>
                <w:sz w:val="18"/>
                <w:szCs w:val="18"/>
              </w:rPr>
            </w:pPr>
            <w:r w:rsidRPr="00513ED1">
              <w:rPr>
                <w:sz w:val="18"/>
                <w:szCs w:val="18"/>
              </w:rPr>
              <w:t>25.0%</w:t>
            </w:r>
          </w:p>
        </w:tc>
        <w:tc>
          <w:tcPr>
            <w:tcW w:w="1177" w:type="dxa"/>
            <w:shd w:val="clear" w:color="auto" w:fill="auto"/>
            <w:vAlign w:val="center"/>
          </w:tcPr>
          <w:p w14:paraId="18677862" w14:textId="77777777" w:rsidR="00D53981" w:rsidRPr="005B1C0C" w:rsidRDefault="00D53981" w:rsidP="00FE2C99">
            <w:pPr>
              <w:jc w:val="center"/>
              <w:rPr>
                <w:sz w:val="18"/>
                <w:szCs w:val="18"/>
              </w:rPr>
            </w:pPr>
            <w:r w:rsidRPr="004D5AE2">
              <w:rPr>
                <w:sz w:val="18"/>
                <w:szCs w:val="18"/>
              </w:rPr>
              <w:t>23.7%</w:t>
            </w:r>
          </w:p>
        </w:tc>
        <w:tc>
          <w:tcPr>
            <w:tcW w:w="1177" w:type="dxa"/>
            <w:shd w:val="clear" w:color="auto" w:fill="auto"/>
            <w:vAlign w:val="center"/>
          </w:tcPr>
          <w:p w14:paraId="548208B7" w14:textId="77777777" w:rsidR="00D53981" w:rsidRPr="004C223D" w:rsidRDefault="00D53981" w:rsidP="00FE2C99">
            <w:pPr>
              <w:jc w:val="center"/>
              <w:rPr>
                <w:color w:val="000000" w:themeColor="text1"/>
                <w:sz w:val="18"/>
                <w:szCs w:val="18"/>
              </w:rPr>
            </w:pPr>
            <w:r>
              <w:rPr>
                <w:color w:val="000000" w:themeColor="text1"/>
                <w:sz w:val="18"/>
                <w:szCs w:val="18"/>
              </w:rPr>
              <w:t>26.6%</w:t>
            </w:r>
          </w:p>
        </w:tc>
        <w:tc>
          <w:tcPr>
            <w:tcW w:w="901" w:type="dxa"/>
            <w:tcBorders>
              <w:top w:val="nil"/>
              <w:left w:val="nil"/>
              <w:bottom w:val="single" w:sz="8" w:space="0" w:color="auto"/>
              <w:right w:val="single" w:sz="8" w:space="0" w:color="auto"/>
            </w:tcBorders>
            <w:shd w:val="clear" w:color="000000" w:fill="FF0000"/>
            <w:vAlign w:val="center"/>
          </w:tcPr>
          <w:p w14:paraId="1B952867" w14:textId="77777777" w:rsidR="00D53981" w:rsidRDefault="00D53981" w:rsidP="00FE2C99">
            <w:pPr>
              <w:jc w:val="center"/>
              <w:rPr>
                <w:color w:val="000000" w:themeColor="text1"/>
                <w:sz w:val="18"/>
                <w:szCs w:val="18"/>
              </w:rPr>
            </w:pPr>
            <w:r w:rsidRPr="002A65C3">
              <w:rPr>
                <w:rFonts w:cs="Arial"/>
                <w:color w:val="000000" w:themeColor="text1"/>
                <w:sz w:val="18"/>
                <w:szCs w:val="18"/>
              </w:rPr>
              <w:t>25.</w:t>
            </w:r>
            <w:r w:rsidR="00C55A31">
              <w:rPr>
                <w:rFonts w:cs="Arial"/>
                <w:color w:val="000000" w:themeColor="text1"/>
                <w:sz w:val="18"/>
                <w:szCs w:val="18"/>
              </w:rPr>
              <w:t>0</w:t>
            </w:r>
            <w:r w:rsidRPr="002A65C3">
              <w:rPr>
                <w:rFonts w:cs="Arial"/>
                <w:color w:val="000000" w:themeColor="text1"/>
                <w:sz w:val="18"/>
                <w:szCs w:val="18"/>
              </w:rPr>
              <w:t>%</w:t>
            </w:r>
          </w:p>
        </w:tc>
        <w:tc>
          <w:tcPr>
            <w:tcW w:w="997" w:type="dxa"/>
            <w:tcBorders>
              <w:top w:val="nil"/>
              <w:left w:val="nil"/>
              <w:bottom w:val="single" w:sz="8" w:space="0" w:color="auto"/>
              <w:right w:val="single" w:sz="8" w:space="0" w:color="auto"/>
            </w:tcBorders>
            <w:shd w:val="clear" w:color="000000" w:fill="FFFFFF"/>
            <w:vAlign w:val="center"/>
          </w:tcPr>
          <w:p w14:paraId="443BBBAD" w14:textId="77777777" w:rsidR="00D53981" w:rsidRPr="004C1840" w:rsidRDefault="00D53981" w:rsidP="00FE2C99">
            <w:pPr>
              <w:jc w:val="center"/>
              <w:rPr>
                <w:rFonts w:cs="Arial"/>
                <w:color w:val="000000" w:themeColor="text1"/>
                <w:sz w:val="18"/>
                <w:szCs w:val="18"/>
              </w:rPr>
            </w:pPr>
            <w:r w:rsidRPr="002A65C3">
              <w:rPr>
                <w:rFonts w:cs="Arial"/>
                <w:color w:val="000000" w:themeColor="text1"/>
                <w:sz w:val="18"/>
                <w:szCs w:val="18"/>
              </w:rPr>
              <w:t>17.3%</w:t>
            </w:r>
          </w:p>
        </w:tc>
      </w:tr>
      <w:tr w:rsidR="0091013D" w:rsidRPr="00513ED1" w14:paraId="02DC967E" w14:textId="77777777" w:rsidTr="00407851">
        <w:trPr>
          <w:trHeight w:val="133"/>
        </w:trPr>
        <w:tc>
          <w:tcPr>
            <w:tcW w:w="2825" w:type="dxa"/>
            <w:shd w:val="clear" w:color="auto" w:fill="auto"/>
            <w:vAlign w:val="center"/>
            <w:hideMark/>
          </w:tcPr>
          <w:p w14:paraId="6D50732E" w14:textId="77777777" w:rsidR="0091013D" w:rsidRPr="00513ED1" w:rsidRDefault="0091013D" w:rsidP="00FE2C99">
            <w:pPr>
              <w:rPr>
                <w:rFonts w:cs="Arial"/>
                <w:sz w:val="18"/>
                <w:szCs w:val="18"/>
              </w:rPr>
            </w:pPr>
            <w:r w:rsidRPr="008E7BCD">
              <w:rPr>
                <w:rFonts w:cs="Arial"/>
                <w:sz w:val="18"/>
                <w:szCs w:val="18"/>
              </w:rPr>
              <w:t xml:space="preserve">Number and rate of children with a Children in Need Plan (snapshot as at </w:t>
            </w:r>
            <w:r w:rsidR="008E7BCD" w:rsidRPr="008E7BCD">
              <w:rPr>
                <w:rFonts w:cs="Arial"/>
                <w:sz w:val="18"/>
                <w:szCs w:val="18"/>
              </w:rPr>
              <w:t>31/12/18)</w:t>
            </w:r>
          </w:p>
        </w:tc>
        <w:tc>
          <w:tcPr>
            <w:tcW w:w="856" w:type="dxa"/>
            <w:shd w:val="clear" w:color="auto" w:fill="auto"/>
            <w:vAlign w:val="center"/>
            <w:hideMark/>
          </w:tcPr>
          <w:p w14:paraId="425FA77E" w14:textId="77777777" w:rsidR="0091013D" w:rsidRPr="00513ED1" w:rsidRDefault="0091013D" w:rsidP="00FE2C99">
            <w:pPr>
              <w:jc w:val="center"/>
              <w:rPr>
                <w:rFonts w:cs="Arial"/>
                <w:sz w:val="18"/>
                <w:szCs w:val="18"/>
              </w:rPr>
            </w:pPr>
            <w:r w:rsidRPr="00513ED1">
              <w:rPr>
                <w:rFonts w:cs="Arial"/>
                <w:sz w:val="18"/>
                <w:szCs w:val="18"/>
              </w:rPr>
              <w:t>L</w:t>
            </w:r>
          </w:p>
        </w:tc>
        <w:tc>
          <w:tcPr>
            <w:tcW w:w="1134" w:type="dxa"/>
            <w:shd w:val="clear" w:color="000000" w:fill="FFFFFF"/>
            <w:noWrap/>
            <w:vAlign w:val="center"/>
            <w:hideMark/>
          </w:tcPr>
          <w:p w14:paraId="6AA9694F" w14:textId="77777777" w:rsidR="0091013D" w:rsidRPr="00513ED1" w:rsidRDefault="00FE2C99" w:rsidP="00FE2C99">
            <w:pPr>
              <w:jc w:val="center"/>
              <w:rPr>
                <w:rFonts w:cs="Arial"/>
                <w:sz w:val="18"/>
                <w:szCs w:val="18"/>
              </w:rPr>
            </w:pPr>
            <w:r>
              <w:rPr>
                <w:rFonts w:cs="Arial"/>
                <w:sz w:val="18"/>
                <w:szCs w:val="18"/>
              </w:rPr>
              <w:t xml:space="preserve">                 </w:t>
            </w:r>
            <w:r w:rsidR="0091013D" w:rsidRPr="00513ED1">
              <w:rPr>
                <w:rFonts w:cs="Arial"/>
                <w:sz w:val="18"/>
                <w:szCs w:val="18"/>
              </w:rPr>
              <w:t>1,825/74.3</w:t>
            </w:r>
          </w:p>
          <w:p w14:paraId="0039E20E" w14:textId="77777777" w:rsidR="0091013D" w:rsidRPr="00513ED1" w:rsidRDefault="0091013D" w:rsidP="00FE2C99">
            <w:pPr>
              <w:jc w:val="center"/>
              <w:rPr>
                <w:rFonts w:cs="Arial"/>
                <w:sz w:val="18"/>
                <w:szCs w:val="18"/>
              </w:rPr>
            </w:pPr>
          </w:p>
        </w:tc>
        <w:tc>
          <w:tcPr>
            <w:tcW w:w="1134" w:type="dxa"/>
            <w:shd w:val="clear" w:color="auto" w:fill="FFFFFF"/>
            <w:vAlign w:val="center"/>
          </w:tcPr>
          <w:p w14:paraId="47A1EB35" w14:textId="77777777" w:rsidR="0091013D" w:rsidRPr="00513ED1" w:rsidRDefault="0091013D" w:rsidP="00FE2C99">
            <w:pPr>
              <w:jc w:val="center"/>
              <w:rPr>
                <w:sz w:val="18"/>
                <w:szCs w:val="18"/>
              </w:rPr>
            </w:pPr>
            <w:r w:rsidRPr="00513ED1">
              <w:rPr>
                <w:sz w:val="18"/>
                <w:szCs w:val="18"/>
              </w:rPr>
              <w:t>1,660/67.2</w:t>
            </w:r>
          </w:p>
        </w:tc>
        <w:tc>
          <w:tcPr>
            <w:tcW w:w="1177" w:type="dxa"/>
            <w:shd w:val="clear" w:color="auto" w:fill="auto"/>
            <w:vAlign w:val="center"/>
          </w:tcPr>
          <w:p w14:paraId="29C92BF8" w14:textId="77777777" w:rsidR="0091013D" w:rsidRDefault="0091013D" w:rsidP="00FE2C99">
            <w:pPr>
              <w:jc w:val="center"/>
              <w:rPr>
                <w:sz w:val="18"/>
                <w:szCs w:val="18"/>
              </w:rPr>
            </w:pPr>
            <w:r w:rsidRPr="004C223D">
              <w:rPr>
                <w:sz w:val="18"/>
                <w:szCs w:val="18"/>
              </w:rPr>
              <w:t>1,716</w:t>
            </w:r>
            <w:r>
              <w:rPr>
                <w:sz w:val="18"/>
                <w:szCs w:val="18"/>
              </w:rPr>
              <w:t>/</w:t>
            </w:r>
          </w:p>
          <w:p w14:paraId="25A8978C" w14:textId="77777777" w:rsidR="0091013D" w:rsidRPr="00513ED1" w:rsidRDefault="0091013D" w:rsidP="00FE2C99">
            <w:pPr>
              <w:jc w:val="center"/>
              <w:rPr>
                <w:sz w:val="18"/>
                <w:szCs w:val="18"/>
              </w:rPr>
            </w:pPr>
            <w:r>
              <w:rPr>
                <w:sz w:val="18"/>
                <w:szCs w:val="18"/>
              </w:rPr>
              <w:t>69.2</w:t>
            </w:r>
          </w:p>
        </w:tc>
        <w:tc>
          <w:tcPr>
            <w:tcW w:w="1177" w:type="dxa"/>
            <w:shd w:val="clear" w:color="auto" w:fill="FFFFFF" w:themeFill="background1"/>
            <w:vAlign w:val="center"/>
          </w:tcPr>
          <w:p w14:paraId="4FCA9027" w14:textId="77777777" w:rsidR="0091013D" w:rsidRDefault="0091013D" w:rsidP="00FE2C99">
            <w:pPr>
              <w:jc w:val="center"/>
              <w:rPr>
                <w:color w:val="000000" w:themeColor="text1"/>
                <w:sz w:val="18"/>
                <w:szCs w:val="18"/>
              </w:rPr>
            </w:pPr>
            <w:r w:rsidRPr="002245DD">
              <w:rPr>
                <w:color w:val="000000" w:themeColor="text1"/>
                <w:sz w:val="18"/>
                <w:szCs w:val="18"/>
              </w:rPr>
              <w:t>1,7</w:t>
            </w:r>
            <w:r>
              <w:rPr>
                <w:color w:val="000000" w:themeColor="text1"/>
                <w:sz w:val="18"/>
                <w:szCs w:val="18"/>
              </w:rPr>
              <w:t>54/</w:t>
            </w:r>
          </w:p>
          <w:p w14:paraId="29090E26" w14:textId="77777777" w:rsidR="0091013D" w:rsidRPr="004C223D" w:rsidRDefault="0091013D" w:rsidP="00FE2C99">
            <w:pPr>
              <w:jc w:val="center"/>
              <w:rPr>
                <w:color w:val="000000" w:themeColor="text1"/>
                <w:sz w:val="18"/>
                <w:szCs w:val="18"/>
              </w:rPr>
            </w:pPr>
            <w:r>
              <w:rPr>
                <w:color w:val="000000" w:themeColor="text1"/>
                <w:sz w:val="18"/>
                <w:szCs w:val="18"/>
              </w:rPr>
              <w:t>70.7</w:t>
            </w:r>
          </w:p>
        </w:tc>
        <w:tc>
          <w:tcPr>
            <w:tcW w:w="901" w:type="dxa"/>
            <w:shd w:val="clear" w:color="auto" w:fill="F7CAAC" w:themeFill="accent2" w:themeFillTint="66"/>
            <w:vAlign w:val="center"/>
          </w:tcPr>
          <w:p w14:paraId="5B708372" w14:textId="77777777" w:rsidR="0091013D" w:rsidRPr="004C223D" w:rsidRDefault="0091013D" w:rsidP="00FE2C99">
            <w:pPr>
              <w:jc w:val="center"/>
              <w:rPr>
                <w:color w:val="000000" w:themeColor="text1"/>
                <w:sz w:val="18"/>
                <w:szCs w:val="18"/>
              </w:rPr>
            </w:pPr>
            <w:r w:rsidRPr="006A0256">
              <w:rPr>
                <w:color w:val="000000" w:themeColor="text1"/>
                <w:sz w:val="18"/>
                <w:szCs w:val="18"/>
              </w:rPr>
              <w:t>1,720</w:t>
            </w:r>
            <w:r>
              <w:rPr>
                <w:color w:val="000000" w:themeColor="text1"/>
                <w:sz w:val="18"/>
                <w:szCs w:val="18"/>
              </w:rPr>
              <w:t>/</w:t>
            </w:r>
            <w:r>
              <w:rPr>
                <w:color w:val="000000" w:themeColor="text1"/>
                <w:sz w:val="18"/>
                <w:szCs w:val="18"/>
              </w:rPr>
              <w:br/>
              <w:t>69.4</w:t>
            </w:r>
          </w:p>
        </w:tc>
        <w:tc>
          <w:tcPr>
            <w:tcW w:w="997" w:type="dxa"/>
            <w:shd w:val="clear" w:color="auto" w:fill="FFFFFF"/>
            <w:vAlign w:val="center"/>
          </w:tcPr>
          <w:p w14:paraId="066F9CBC" w14:textId="77777777" w:rsidR="0091013D" w:rsidRPr="004C1840" w:rsidRDefault="0091013D" w:rsidP="00FE2C99">
            <w:pPr>
              <w:jc w:val="center"/>
              <w:rPr>
                <w:rFonts w:cs="Arial"/>
                <w:color w:val="000000" w:themeColor="text1"/>
                <w:sz w:val="18"/>
                <w:szCs w:val="18"/>
              </w:rPr>
            </w:pPr>
            <w:r w:rsidRPr="004C1840">
              <w:rPr>
                <w:color w:val="000000" w:themeColor="text1"/>
                <w:sz w:val="18"/>
                <w:szCs w:val="18"/>
              </w:rPr>
              <w:t>-</w:t>
            </w:r>
          </w:p>
        </w:tc>
      </w:tr>
      <w:tr w:rsidR="0091013D" w:rsidRPr="00513ED1" w14:paraId="5DFAAAC1" w14:textId="77777777" w:rsidTr="00407851">
        <w:trPr>
          <w:trHeight w:val="60"/>
        </w:trPr>
        <w:tc>
          <w:tcPr>
            <w:tcW w:w="2825" w:type="dxa"/>
            <w:shd w:val="clear" w:color="auto" w:fill="auto"/>
            <w:vAlign w:val="center"/>
            <w:hideMark/>
          </w:tcPr>
          <w:p w14:paraId="63860A1B" w14:textId="77777777" w:rsidR="0091013D" w:rsidRPr="00513ED1" w:rsidRDefault="0091013D" w:rsidP="00FE2C99">
            <w:pPr>
              <w:rPr>
                <w:rFonts w:cs="Arial"/>
                <w:sz w:val="18"/>
                <w:szCs w:val="18"/>
              </w:rPr>
            </w:pPr>
            <w:r w:rsidRPr="00513ED1">
              <w:rPr>
                <w:rFonts w:cs="Arial"/>
                <w:sz w:val="18"/>
                <w:szCs w:val="18"/>
              </w:rPr>
              <w:t xml:space="preserve">Number and rate of children with a child protection plan (snapshot as at </w:t>
            </w:r>
            <w:r w:rsidR="008E7BCD" w:rsidRPr="00513ED1">
              <w:rPr>
                <w:rFonts w:cs="Arial"/>
                <w:sz w:val="18"/>
                <w:szCs w:val="18"/>
              </w:rPr>
              <w:t>3</w:t>
            </w:r>
            <w:r w:rsidR="008E7BCD">
              <w:rPr>
                <w:rFonts w:cs="Arial"/>
                <w:sz w:val="18"/>
                <w:szCs w:val="18"/>
              </w:rPr>
              <w:t>1/12/18</w:t>
            </w:r>
            <w:r w:rsidR="008E7BCD" w:rsidRPr="00513ED1">
              <w:rPr>
                <w:rFonts w:cs="Arial"/>
                <w:sz w:val="18"/>
                <w:szCs w:val="18"/>
              </w:rPr>
              <w:t>)</w:t>
            </w:r>
          </w:p>
        </w:tc>
        <w:tc>
          <w:tcPr>
            <w:tcW w:w="856" w:type="dxa"/>
            <w:shd w:val="clear" w:color="auto" w:fill="auto"/>
            <w:vAlign w:val="center"/>
            <w:hideMark/>
          </w:tcPr>
          <w:p w14:paraId="283E9FB4" w14:textId="77777777" w:rsidR="0091013D" w:rsidRPr="00513ED1" w:rsidRDefault="0091013D" w:rsidP="00FE2C99">
            <w:pPr>
              <w:jc w:val="center"/>
              <w:rPr>
                <w:rFonts w:cs="Arial"/>
                <w:sz w:val="18"/>
                <w:szCs w:val="18"/>
              </w:rPr>
            </w:pPr>
            <w:r w:rsidRPr="00513ED1">
              <w:rPr>
                <w:rFonts w:cs="Arial"/>
                <w:sz w:val="18"/>
                <w:szCs w:val="18"/>
              </w:rPr>
              <w:t>L</w:t>
            </w:r>
          </w:p>
        </w:tc>
        <w:tc>
          <w:tcPr>
            <w:tcW w:w="1134" w:type="dxa"/>
            <w:shd w:val="clear" w:color="000000" w:fill="FFFFFF"/>
            <w:noWrap/>
            <w:vAlign w:val="center"/>
            <w:hideMark/>
          </w:tcPr>
          <w:p w14:paraId="05818A78" w14:textId="77777777" w:rsidR="0091013D" w:rsidRPr="00513ED1" w:rsidRDefault="00FE2C99" w:rsidP="00FE2C99">
            <w:pPr>
              <w:jc w:val="center"/>
              <w:rPr>
                <w:rFonts w:cs="Arial"/>
                <w:sz w:val="18"/>
                <w:szCs w:val="18"/>
              </w:rPr>
            </w:pPr>
            <w:r>
              <w:rPr>
                <w:rFonts w:cs="Arial"/>
                <w:sz w:val="18"/>
                <w:szCs w:val="18"/>
              </w:rPr>
              <w:t xml:space="preserve">                </w:t>
            </w:r>
            <w:r w:rsidR="0091013D" w:rsidRPr="00513ED1">
              <w:rPr>
                <w:rFonts w:cs="Arial"/>
                <w:sz w:val="18"/>
                <w:szCs w:val="18"/>
              </w:rPr>
              <w:t>1,412/57.5</w:t>
            </w:r>
          </w:p>
          <w:p w14:paraId="55A9DB69" w14:textId="77777777" w:rsidR="0091013D" w:rsidRPr="00513ED1" w:rsidRDefault="0091013D" w:rsidP="00FE2C99">
            <w:pPr>
              <w:jc w:val="center"/>
              <w:rPr>
                <w:rFonts w:cs="Arial"/>
                <w:sz w:val="18"/>
                <w:szCs w:val="18"/>
              </w:rPr>
            </w:pPr>
          </w:p>
        </w:tc>
        <w:tc>
          <w:tcPr>
            <w:tcW w:w="1134" w:type="dxa"/>
            <w:shd w:val="clear" w:color="auto" w:fill="FFFFFF"/>
            <w:vAlign w:val="center"/>
          </w:tcPr>
          <w:p w14:paraId="70531F5C" w14:textId="77777777" w:rsidR="0091013D" w:rsidRPr="00513ED1" w:rsidRDefault="0091013D" w:rsidP="00FE2C99">
            <w:pPr>
              <w:jc w:val="center"/>
              <w:rPr>
                <w:sz w:val="18"/>
                <w:szCs w:val="18"/>
              </w:rPr>
            </w:pPr>
            <w:r w:rsidRPr="00513ED1">
              <w:rPr>
                <w:sz w:val="18"/>
                <w:szCs w:val="18"/>
              </w:rPr>
              <w:t>1,243/50.4</w:t>
            </w:r>
          </w:p>
        </w:tc>
        <w:tc>
          <w:tcPr>
            <w:tcW w:w="1177" w:type="dxa"/>
            <w:shd w:val="clear" w:color="auto" w:fill="auto"/>
            <w:vAlign w:val="center"/>
          </w:tcPr>
          <w:p w14:paraId="3FE712EB" w14:textId="77777777" w:rsidR="0091013D" w:rsidRPr="004C223D" w:rsidRDefault="00FE2C99" w:rsidP="00FE2C99">
            <w:pPr>
              <w:jc w:val="center"/>
              <w:rPr>
                <w:sz w:val="18"/>
                <w:szCs w:val="18"/>
              </w:rPr>
            </w:pPr>
            <w:r>
              <w:rPr>
                <w:sz w:val="18"/>
                <w:szCs w:val="18"/>
              </w:rPr>
              <w:t xml:space="preserve">                </w:t>
            </w:r>
            <w:r w:rsidR="0091013D" w:rsidRPr="004C223D">
              <w:rPr>
                <w:sz w:val="18"/>
                <w:szCs w:val="18"/>
              </w:rPr>
              <w:t>1,221/49.5</w:t>
            </w:r>
          </w:p>
          <w:p w14:paraId="1ECD9D03" w14:textId="77777777" w:rsidR="0091013D" w:rsidRPr="00513ED1" w:rsidRDefault="0091013D" w:rsidP="00FE2C99">
            <w:pPr>
              <w:jc w:val="center"/>
              <w:rPr>
                <w:sz w:val="18"/>
                <w:szCs w:val="18"/>
              </w:rPr>
            </w:pPr>
          </w:p>
        </w:tc>
        <w:tc>
          <w:tcPr>
            <w:tcW w:w="1177" w:type="dxa"/>
            <w:shd w:val="clear" w:color="auto" w:fill="FFFFFF" w:themeFill="background1"/>
            <w:vAlign w:val="center"/>
          </w:tcPr>
          <w:p w14:paraId="510D352F" w14:textId="77777777" w:rsidR="0091013D" w:rsidRPr="004C223D" w:rsidRDefault="0091013D" w:rsidP="00FE2C99">
            <w:pPr>
              <w:jc w:val="center"/>
              <w:rPr>
                <w:color w:val="000000" w:themeColor="text1"/>
                <w:sz w:val="18"/>
                <w:szCs w:val="18"/>
              </w:rPr>
            </w:pPr>
            <w:r w:rsidRPr="001C2193">
              <w:rPr>
                <w:color w:val="000000" w:themeColor="text1"/>
                <w:sz w:val="18"/>
                <w:szCs w:val="18"/>
              </w:rPr>
              <w:t>1,35</w:t>
            </w:r>
            <w:r>
              <w:rPr>
                <w:color w:val="000000" w:themeColor="text1"/>
                <w:sz w:val="18"/>
                <w:szCs w:val="18"/>
              </w:rPr>
              <w:t>1</w:t>
            </w:r>
            <w:r w:rsidRPr="001C2193">
              <w:rPr>
                <w:color w:val="000000" w:themeColor="text1"/>
                <w:sz w:val="18"/>
                <w:szCs w:val="18"/>
              </w:rPr>
              <w:t>/54.</w:t>
            </w:r>
            <w:r>
              <w:rPr>
                <w:color w:val="000000" w:themeColor="text1"/>
                <w:sz w:val="18"/>
                <w:szCs w:val="18"/>
              </w:rPr>
              <w:t>5</w:t>
            </w:r>
          </w:p>
        </w:tc>
        <w:tc>
          <w:tcPr>
            <w:tcW w:w="901" w:type="dxa"/>
            <w:shd w:val="clear" w:color="auto" w:fill="F7CAAC" w:themeFill="accent2" w:themeFillTint="66"/>
            <w:vAlign w:val="center"/>
          </w:tcPr>
          <w:p w14:paraId="02BE35A7" w14:textId="77777777" w:rsidR="0091013D" w:rsidRDefault="0091013D" w:rsidP="00FE2C99">
            <w:pPr>
              <w:jc w:val="center"/>
              <w:rPr>
                <w:color w:val="000000" w:themeColor="text1"/>
                <w:sz w:val="18"/>
                <w:szCs w:val="18"/>
              </w:rPr>
            </w:pPr>
            <w:r w:rsidRPr="004C1840">
              <w:rPr>
                <w:color w:val="000000" w:themeColor="text1"/>
                <w:sz w:val="18"/>
                <w:szCs w:val="18"/>
              </w:rPr>
              <w:t>1,329/</w:t>
            </w:r>
          </w:p>
          <w:p w14:paraId="561CF885" w14:textId="77777777" w:rsidR="0091013D" w:rsidRPr="004C223D" w:rsidRDefault="0091013D" w:rsidP="00FE2C99">
            <w:pPr>
              <w:jc w:val="center"/>
              <w:rPr>
                <w:color w:val="000000" w:themeColor="text1"/>
                <w:sz w:val="18"/>
                <w:szCs w:val="18"/>
              </w:rPr>
            </w:pPr>
            <w:r w:rsidRPr="004C1840">
              <w:rPr>
                <w:color w:val="000000" w:themeColor="text1"/>
                <w:sz w:val="18"/>
                <w:szCs w:val="18"/>
              </w:rPr>
              <w:t>53.6</w:t>
            </w:r>
          </w:p>
        </w:tc>
        <w:tc>
          <w:tcPr>
            <w:tcW w:w="997" w:type="dxa"/>
            <w:shd w:val="clear" w:color="auto" w:fill="FFFFFF"/>
            <w:vAlign w:val="center"/>
          </w:tcPr>
          <w:p w14:paraId="3076F0A5" w14:textId="77777777" w:rsidR="0091013D" w:rsidRPr="004C1840" w:rsidRDefault="0091013D" w:rsidP="00FE2C99">
            <w:pPr>
              <w:jc w:val="center"/>
              <w:rPr>
                <w:rFonts w:cs="Arial"/>
                <w:color w:val="000000" w:themeColor="text1"/>
                <w:sz w:val="18"/>
                <w:szCs w:val="18"/>
              </w:rPr>
            </w:pPr>
            <w:r w:rsidRPr="004C1840">
              <w:rPr>
                <w:color w:val="000000" w:themeColor="text1"/>
                <w:sz w:val="18"/>
                <w:szCs w:val="18"/>
              </w:rPr>
              <w:t>45.3</w:t>
            </w:r>
          </w:p>
        </w:tc>
      </w:tr>
      <w:tr w:rsidR="0091013D" w:rsidRPr="00513ED1" w14:paraId="4D2BBC7B" w14:textId="77777777" w:rsidTr="00407851">
        <w:trPr>
          <w:trHeight w:val="393"/>
        </w:trPr>
        <w:tc>
          <w:tcPr>
            <w:tcW w:w="2825" w:type="dxa"/>
            <w:shd w:val="clear" w:color="auto" w:fill="auto"/>
            <w:vAlign w:val="center"/>
            <w:hideMark/>
          </w:tcPr>
          <w:p w14:paraId="74758C85" w14:textId="77777777" w:rsidR="0091013D" w:rsidRPr="00513ED1" w:rsidRDefault="0091013D" w:rsidP="00FE2C99">
            <w:pPr>
              <w:rPr>
                <w:rFonts w:cs="Arial"/>
                <w:sz w:val="18"/>
                <w:szCs w:val="18"/>
              </w:rPr>
            </w:pPr>
            <w:r w:rsidRPr="00513ED1">
              <w:rPr>
                <w:rFonts w:cs="Arial"/>
                <w:sz w:val="18"/>
                <w:szCs w:val="18"/>
              </w:rPr>
              <w:t xml:space="preserve">Percentage of children with a repeat child protection plan over last 12 months (snapshot as at </w:t>
            </w:r>
            <w:r w:rsidR="008E7BCD" w:rsidRPr="00513ED1">
              <w:rPr>
                <w:rFonts w:cs="Arial"/>
                <w:sz w:val="18"/>
                <w:szCs w:val="18"/>
              </w:rPr>
              <w:t>3</w:t>
            </w:r>
            <w:r w:rsidR="008E7BCD">
              <w:rPr>
                <w:rFonts w:cs="Arial"/>
                <w:sz w:val="18"/>
                <w:szCs w:val="18"/>
              </w:rPr>
              <w:t>1/12/18</w:t>
            </w:r>
            <w:r w:rsidR="008E7BCD" w:rsidRPr="00513ED1">
              <w:rPr>
                <w:rFonts w:cs="Arial"/>
                <w:sz w:val="18"/>
                <w:szCs w:val="18"/>
              </w:rPr>
              <w:t>)</w:t>
            </w:r>
          </w:p>
        </w:tc>
        <w:tc>
          <w:tcPr>
            <w:tcW w:w="856" w:type="dxa"/>
            <w:shd w:val="clear" w:color="auto" w:fill="auto"/>
            <w:vAlign w:val="center"/>
            <w:hideMark/>
          </w:tcPr>
          <w:p w14:paraId="5C9CC56C" w14:textId="77777777" w:rsidR="0091013D" w:rsidRPr="00513ED1" w:rsidRDefault="0091013D" w:rsidP="00FE2C99">
            <w:pPr>
              <w:jc w:val="center"/>
              <w:rPr>
                <w:rFonts w:cs="Arial"/>
                <w:sz w:val="18"/>
                <w:szCs w:val="18"/>
              </w:rPr>
            </w:pPr>
            <w:r w:rsidRPr="00513ED1">
              <w:rPr>
                <w:rFonts w:cs="Arial"/>
                <w:sz w:val="18"/>
                <w:szCs w:val="18"/>
              </w:rPr>
              <w:t>L</w:t>
            </w:r>
          </w:p>
        </w:tc>
        <w:tc>
          <w:tcPr>
            <w:tcW w:w="1134" w:type="dxa"/>
            <w:shd w:val="clear" w:color="000000" w:fill="FFFFFF"/>
            <w:noWrap/>
            <w:vAlign w:val="center"/>
            <w:hideMark/>
          </w:tcPr>
          <w:p w14:paraId="054EAADC" w14:textId="77777777" w:rsidR="0091013D" w:rsidRPr="00513ED1" w:rsidRDefault="00FE2C99" w:rsidP="00FE2C99">
            <w:pPr>
              <w:jc w:val="center"/>
              <w:rPr>
                <w:rFonts w:cs="Arial"/>
                <w:sz w:val="18"/>
                <w:szCs w:val="18"/>
              </w:rPr>
            </w:pPr>
            <w:r>
              <w:rPr>
                <w:rFonts w:cs="Arial"/>
                <w:sz w:val="18"/>
                <w:szCs w:val="18"/>
              </w:rPr>
              <w:t xml:space="preserve">                      </w:t>
            </w:r>
            <w:r w:rsidR="0091013D" w:rsidRPr="00513ED1">
              <w:rPr>
                <w:rFonts w:cs="Arial"/>
                <w:sz w:val="18"/>
                <w:szCs w:val="18"/>
              </w:rPr>
              <w:t>5.5%</w:t>
            </w:r>
          </w:p>
          <w:p w14:paraId="35FD7F9B" w14:textId="77777777" w:rsidR="0091013D" w:rsidRPr="00513ED1" w:rsidRDefault="0091013D" w:rsidP="00FE2C99">
            <w:pPr>
              <w:jc w:val="center"/>
              <w:rPr>
                <w:rFonts w:cs="Arial"/>
                <w:sz w:val="18"/>
                <w:szCs w:val="18"/>
              </w:rPr>
            </w:pPr>
          </w:p>
        </w:tc>
        <w:tc>
          <w:tcPr>
            <w:tcW w:w="1134" w:type="dxa"/>
            <w:shd w:val="clear" w:color="auto" w:fill="FFFFFF"/>
            <w:vAlign w:val="center"/>
          </w:tcPr>
          <w:p w14:paraId="5915344D" w14:textId="77777777" w:rsidR="0091013D" w:rsidRPr="00513ED1" w:rsidRDefault="0091013D" w:rsidP="00FE2C99">
            <w:pPr>
              <w:jc w:val="center"/>
              <w:rPr>
                <w:sz w:val="18"/>
                <w:szCs w:val="18"/>
              </w:rPr>
            </w:pPr>
            <w:r w:rsidRPr="00513ED1">
              <w:rPr>
                <w:sz w:val="18"/>
                <w:szCs w:val="18"/>
              </w:rPr>
              <w:t>6.2%</w:t>
            </w:r>
          </w:p>
        </w:tc>
        <w:tc>
          <w:tcPr>
            <w:tcW w:w="1177" w:type="dxa"/>
            <w:shd w:val="clear" w:color="auto" w:fill="auto"/>
            <w:vAlign w:val="center"/>
          </w:tcPr>
          <w:p w14:paraId="1D844365" w14:textId="77777777" w:rsidR="0091013D" w:rsidRPr="00513ED1" w:rsidRDefault="0091013D" w:rsidP="00FE2C99">
            <w:pPr>
              <w:jc w:val="center"/>
              <w:rPr>
                <w:sz w:val="18"/>
                <w:szCs w:val="18"/>
              </w:rPr>
            </w:pPr>
            <w:r>
              <w:rPr>
                <w:sz w:val="18"/>
                <w:szCs w:val="18"/>
              </w:rPr>
              <w:t>6.6%</w:t>
            </w:r>
          </w:p>
        </w:tc>
        <w:tc>
          <w:tcPr>
            <w:tcW w:w="1177" w:type="dxa"/>
            <w:shd w:val="clear" w:color="auto" w:fill="FFFFFF" w:themeFill="background1"/>
            <w:vAlign w:val="center"/>
          </w:tcPr>
          <w:p w14:paraId="761A2FDD" w14:textId="77777777" w:rsidR="0091013D" w:rsidRPr="004C223D" w:rsidRDefault="0091013D" w:rsidP="00FE2C99">
            <w:pPr>
              <w:jc w:val="center"/>
              <w:rPr>
                <w:color w:val="000000" w:themeColor="text1"/>
                <w:sz w:val="18"/>
                <w:szCs w:val="18"/>
              </w:rPr>
            </w:pPr>
            <w:r>
              <w:rPr>
                <w:color w:val="000000" w:themeColor="text1"/>
                <w:sz w:val="18"/>
                <w:szCs w:val="18"/>
              </w:rPr>
              <w:t>6.0%</w:t>
            </w:r>
          </w:p>
        </w:tc>
        <w:tc>
          <w:tcPr>
            <w:tcW w:w="901" w:type="dxa"/>
            <w:shd w:val="clear" w:color="auto" w:fill="C5E0B3" w:themeFill="accent6" w:themeFillTint="66"/>
            <w:vAlign w:val="center"/>
          </w:tcPr>
          <w:p w14:paraId="65AB17A3" w14:textId="77777777" w:rsidR="0091013D" w:rsidRPr="00C01035" w:rsidRDefault="0091013D" w:rsidP="00FE2C99">
            <w:pPr>
              <w:jc w:val="center"/>
              <w:rPr>
                <w:color w:val="000000" w:themeColor="text1"/>
                <w:sz w:val="18"/>
                <w:szCs w:val="18"/>
              </w:rPr>
            </w:pPr>
            <w:r>
              <w:rPr>
                <w:color w:val="000000" w:themeColor="text1"/>
                <w:sz w:val="18"/>
                <w:szCs w:val="18"/>
              </w:rPr>
              <w:t>6.7%</w:t>
            </w:r>
          </w:p>
        </w:tc>
        <w:tc>
          <w:tcPr>
            <w:tcW w:w="997" w:type="dxa"/>
            <w:shd w:val="clear" w:color="auto" w:fill="FFFFFF"/>
            <w:vAlign w:val="center"/>
          </w:tcPr>
          <w:p w14:paraId="6FB6A6D9" w14:textId="77777777" w:rsidR="0091013D" w:rsidRPr="004C1840" w:rsidRDefault="0091013D" w:rsidP="00FE2C99">
            <w:pPr>
              <w:jc w:val="center"/>
              <w:rPr>
                <w:rFonts w:cs="Arial"/>
                <w:color w:val="000000" w:themeColor="text1"/>
                <w:sz w:val="18"/>
                <w:szCs w:val="18"/>
              </w:rPr>
            </w:pPr>
            <w:r w:rsidRPr="004C1840">
              <w:rPr>
                <w:color w:val="000000" w:themeColor="text1"/>
                <w:sz w:val="18"/>
                <w:szCs w:val="18"/>
              </w:rPr>
              <w:t>-</w:t>
            </w:r>
          </w:p>
        </w:tc>
      </w:tr>
      <w:tr w:rsidR="00337D99" w:rsidRPr="00513ED1" w14:paraId="77E4C085" w14:textId="77777777" w:rsidTr="00407851">
        <w:trPr>
          <w:trHeight w:val="60"/>
        </w:trPr>
        <w:tc>
          <w:tcPr>
            <w:tcW w:w="2825" w:type="dxa"/>
            <w:shd w:val="clear" w:color="auto" w:fill="auto"/>
            <w:vAlign w:val="center"/>
            <w:hideMark/>
          </w:tcPr>
          <w:p w14:paraId="21EA9905" w14:textId="77777777" w:rsidR="00337D99" w:rsidRPr="00513ED1" w:rsidRDefault="00337D99" w:rsidP="00FE2C99">
            <w:pPr>
              <w:rPr>
                <w:rFonts w:cs="Arial"/>
                <w:sz w:val="18"/>
                <w:szCs w:val="18"/>
              </w:rPr>
            </w:pPr>
            <w:r w:rsidRPr="00513ED1">
              <w:rPr>
                <w:rFonts w:cs="Arial"/>
                <w:sz w:val="18"/>
                <w:szCs w:val="18"/>
              </w:rPr>
              <w:t xml:space="preserve">Rate of Children Looked After (CLA) number/per 10,000 (snapshot as at </w:t>
            </w:r>
            <w:r w:rsidR="008E7BCD" w:rsidRPr="00513ED1">
              <w:rPr>
                <w:rFonts w:cs="Arial"/>
                <w:sz w:val="18"/>
                <w:szCs w:val="18"/>
              </w:rPr>
              <w:t>3</w:t>
            </w:r>
            <w:r w:rsidR="008E7BCD">
              <w:rPr>
                <w:rFonts w:cs="Arial"/>
                <w:sz w:val="18"/>
                <w:szCs w:val="18"/>
              </w:rPr>
              <w:t>1/12/18</w:t>
            </w:r>
            <w:r w:rsidR="008E7BCD" w:rsidRPr="00513ED1">
              <w:rPr>
                <w:rFonts w:cs="Arial"/>
                <w:sz w:val="18"/>
                <w:szCs w:val="18"/>
              </w:rPr>
              <w:t>)</w:t>
            </w:r>
          </w:p>
        </w:tc>
        <w:tc>
          <w:tcPr>
            <w:tcW w:w="856" w:type="dxa"/>
            <w:shd w:val="clear" w:color="auto" w:fill="auto"/>
            <w:vAlign w:val="center"/>
            <w:hideMark/>
          </w:tcPr>
          <w:p w14:paraId="3FFD2298" w14:textId="77777777" w:rsidR="00337D99" w:rsidRPr="00513ED1" w:rsidRDefault="00337D99" w:rsidP="00FE2C99">
            <w:pPr>
              <w:jc w:val="center"/>
              <w:rPr>
                <w:rFonts w:cs="Arial"/>
                <w:sz w:val="18"/>
                <w:szCs w:val="18"/>
              </w:rPr>
            </w:pPr>
            <w:r w:rsidRPr="00513ED1">
              <w:rPr>
                <w:rFonts w:cs="Arial"/>
                <w:sz w:val="18"/>
                <w:szCs w:val="18"/>
              </w:rPr>
              <w:t>L</w:t>
            </w:r>
          </w:p>
        </w:tc>
        <w:tc>
          <w:tcPr>
            <w:tcW w:w="1134" w:type="dxa"/>
            <w:shd w:val="clear" w:color="000000" w:fill="FFFFFF"/>
            <w:noWrap/>
            <w:vAlign w:val="center"/>
            <w:hideMark/>
          </w:tcPr>
          <w:p w14:paraId="6D24E986" w14:textId="77777777" w:rsidR="00337D99" w:rsidRPr="00513ED1" w:rsidRDefault="00FE2C99" w:rsidP="00FE2C99">
            <w:pPr>
              <w:jc w:val="center"/>
              <w:rPr>
                <w:rFonts w:cs="Arial"/>
                <w:sz w:val="18"/>
                <w:szCs w:val="18"/>
              </w:rPr>
            </w:pPr>
            <w:r>
              <w:rPr>
                <w:rFonts w:cs="Arial"/>
                <w:sz w:val="18"/>
                <w:szCs w:val="18"/>
              </w:rPr>
              <w:t xml:space="preserve">              </w:t>
            </w:r>
            <w:r w:rsidR="00337D99" w:rsidRPr="00513ED1">
              <w:rPr>
                <w:rFonts w:cs="Arial"/>
                <w:sz w:val="18"/>
                <w:szCs w:val="18"/>
              </w:rPr>
              <w:t>1,842/75.0</w:t>
            </w:r>
          </w:p>
          <w:p w14:paraId="3C1F9E62" w14:textId="77777777" w:rsidR="00337D99" w:rsidRPr="00513ED1" w:rsidRDefault="00337D99" w:rsidP="00FE2C99">
            <w:pPr>
              <w:jc w:val="center"/>
              <w:rPr>
                <w:rFonts w:cs="Arial"/>
                <w:sz w:val="18"/>
                <w:szCs w:val="18"/>
              </w:rPr>
            </w:pPr>
          </w:p>
        </w:tc>
        <w:tc>
          <w:tcPr>
            <w:tcW w:w="1134" w:type="dxa"/>
            <w:shd w:val="clear" w:color="auto" w:fill="FFFFFF"/>
            <w:vAlign w:val="center"/>
          </w:tcPr>
          <w:p w14:paraId="240BF43D" w14:textId="77777777" w:rsidR="00337D99" w:rsidRPr="00513ED1" w:rsidRDefault="00337D99" w:rsidP="00FE2C99">
            <w:pPr>
              <w:jc w:val="center"/>
              <w:rPr>
                <w:sz w:val="18"/>
                <w:szCs w:val="18"/>
              </w:rPr>
            </w:pPr>
            <w:r w:rsidRPr="00513ED1">
              <w:rPr>
                <w:sz w:val="18"/>
                <w:szCs w:val="18"/>
              </w:rPr>
              <w:t>1,968/79.7</w:t>
            </w:r>
          </w:p>
        </w:tc>
        <w:tc>
          <w:tcPr>
            <w:tcW w:w="1177" w:type="dxa"/>
            <w:shd w:val="clear" w:color="auto" w:fill="auto"/>
            <w:vAlign w:val="center"/>
          </w:tcPr>
          <w:p w14:paraId="79A58B71" w14:textId="77777777" w:rsidR="00337D99" w:rsidRPr="00513ED1" w:rsidRDefault="00337D99" w:rsidP="00FE2C99">
            <w:pPr>
              <w:jc w:val="center"/>
              <w:rPr>
                <w:sz w:val="18"/>
                <w:szCs w:val="18"/>
              </w:rPr>
            </w:pPr>
            <w:r w:rsidRPr="004C223D">
              <w:rPr>
                <w:sz w:val="18"/>
                <w:szCs w:val="18"/>
              </w:rPr>
              <w:t>2,021/81.9</w:t>
            </w:r>
          </w:p>
        </w:tc>
        <w:tc>
          <w:tcPr>
            <w:tcW w:w="1177" w:type="dxa"/>
            <w:shd w:val="clear" w:color="auto" w:fill="auto"/>
            <w:vAlign w:val="center"/>
          </w:tcPr>
          <w:p w14:paraId="5EE37299" w14:textId="77777777" w:rsidR="00337D99" w:rsidRPr="004C223D" w:rsidRDefault="00337D99" w:rsidP="00FE2C99">
            <w:pPr>
              <w:jc w:val="center"/>
              <w:rPr>
                <w:color w:val="000000" w:themeColor="text1"/>
                <w:sz w:val="18"/>
                <w:szCs w:val="18"/>
              </w:rPr>
            </w:pPr>
            <w:r w:rsidRPr="00FF308A">
              <w:rPr>
                <w:color w:val="000000" w:themeColor="text1"/>
                <w:sz w:val="18"/>
                <w:szCs w:val="18"/>
              </w:rPr>
              <w:t>2,053/82.8</w:t>
            </w:r>
          </w:p>
        </w:tc>
        <w:tc>
          <w:tcPr>
            <w:tcW w:w="901" w:type="dxa"/>
            <w:tcBorders>
              <w:top w:val="nil"/>
              <w:left w:val="nil"/>
              <w:bottom w:val="single" w:sz="8" w:space="0" w:color="auto"/>
              <w:right w:val="single" w:sz="8" w:space="0" w:color="auto"/>
            </w:tcBorders>
            <w:shd w:val="clear" w:color="000000" w:fill="FF0000"/>
            <w:vAlign w:val="center"/>
          </w:tcPr>
          <w:p w14:paraId="56B03DDC" w14:textId="77777777" w:rsidR="00337D99" w:rsidRDefault="00337D99" w:rsidP="00FE2C99">
            <w:pPr>
              <w:jc w:val="center"/>
              <w:rPr>
                <w:color w:val="000000" w:themeColor="text1"/>
                <w:sz w:val="18"/>
                <w:szCs w:val="18"/>
              </w:rPr>
            </w:pPr>
            <w:r>
              <w:rPr>
                <w:rFonts w:cs="Arial"/>
                <w:color w:val="000000" w:themeColor="text1"/>
                <w:sz w:val="18"/>
                <w:szCs w:val="18"/>
              </w:rPr>
              <w:t>2,083/</w:t>
            </w:r>
            <w:r w:rsidR="00A64548">
              <w:rPr>
                <w:rFonts w:cs="Arial"/>
                <w:color w:val="000000" w:themeColor="text1"/>
                <w:sz w:val="18"/>
                <w:szCs w:val="18"/>
              </w:rPr>
              <w:t xml:space="preserve"> </w:t>
            </w:r>
            <w:r w:rsidR="008E7BCD">
              <w:rPr>
                <w:rFonts w:cs="Arial"/>
                <w:color w:val="000000" w:themeColor="text1"/>
                <w:sz w:val="18"/>
                <w:szCs w:val="18"/>
              </w:rPr>
              <w:t>8</w:t>
            </w:r>
            <w:r>
              <w:rPr>
                <w:rFonts w:cs="Arial"/>
                <w:color w:val="000000" w:themeColor="text1"/>
                <w:sz w:val="18"/>
                <w:szCs w:val="18"/>
              </w:rPr>
              <w:t>4.0</w:t>
            </w:r>
          </w:p>
        </w:tc>
        <w:tc>
          <w:tcPr>
            <w:tcW w:w="997" w:type="dxa"/>
            <w:tcBorders>
              <w:top w:val="nil"/>
              <w:left w:val="nil"/>
              <w:bottom w:val="single" w:sz="8" w:space="0" w:color="auto"/>
              <w:right w:val="single" w:sz="8" w:space="0" w:color="auto"/>
            </w:tcBorders>
            <w:shd w:val="clear" w:color="000000" w:fill="FFFFFF"/>
            <w:vAlign w:val="center"/>
          </w:tcPr>
          <w:p w14:paraId="4241F870" w14:textId="77777777" w:rsidR="00337D99" w:rsidRPr="004C1840" w:rsidRDefault="00337D99" w:rsidP="00FE2C99">
            <w:pPr>
              <w:jc w:val="center"/>
              <w:rPr>
                <w:rFonts w:cs="Arial"/>
                <w:color w:val="000000" w:themeColor="text1"/>
                <w:sz w:val="18"/>
                <w:szCs w:val="18"/>
              </w:rPr>
            </w:pPr>
            <w:r w:rsidRPr="002A65C3">
              <w:rPr>
                <w:rFonts w:cs="Arial"/>
                <w:color w:val="000000" w:themeColor="text1"/>
                <w:sz w:val="18"/>
                <w:szCs w:val="18"/>
              </w:rPr>
              <w:t>17.3%</w:t>
            </w:r>
            <w:r w:rsidR="00A64548">
              <w:rPr>
                <w:rFonts w:cs="Arial"/>
                <w:color w:val="000000" w:themeColor="text1"/>
                <w:sz w:val="18"/>
                <w:szCs w:val="18"/>
              </w:rPr>
              <w:t xml:space="preserve">/        </w:t>
            </w:r>
            <w:r>
              <w:rPr>
                <w:color w:val="000000" w:themeColor="text1"/>
                <w:sz w:val="18"/>
                <w:szCs w:val="18"/>
              </w:rPr>
              <w:t>64.0</w:t>
            </w:r>
          </w:p>
        </w:tc>
      </w:tr>
      <w:tr w:rsidR="0091013D" w:rsidRPr="00513ED1" w14:paraId="510AA7D7" w14:textId="77777777" w:rsidTr="00407851">
        <w:trPr>
          <w:trHeight w:val="113"/>
        </w:trPr>
        <w:tc>
          <w:tcPr>
            <w:tcW w:w="2825" w:type="dxa"/>
            <w:shd w:val="clear" w:color="auto" w:fill="auto"/>
            <w:vAlign w:val="center"/>
            <w:hideMark/>
          </w:tcPr>
          <w:p w14:paraId="1DBA945F" w14:textId="77777777" w:rsidR="0091013D" w:rsidRPr="00513ED1" w:rsidRDefault="0091013D" w:rsidP="00FE2C99">
            <w:pPr>
              <w:rPr>
                <w:rFonts w:cs="Arial"/>
                <w:sz w:val="18"/>
                <w:szCs w:val="18"/>
              </w:rPr>
            </w:pPr>
            <w:r w:rsidRPr="00513ED1">
              <w:rPr>
                <w:rFonts w:cs="Arial"/>
                <w:sz w:val="18"/>
                <w:szCs w:val="18"/>
              </w:rPr>
              <w:t>Percentage of CLA in 3 or more placement</w:t>
            </w:r>
            <w:r w:rsidR="009B71DB">
              <w:rPr>
                <w:rFonts w:cs="Arial"/>
                <w:sz w:val="18"/>
                <w:szCs w:val="18"/>
              </w:rPr>
              <w:t>s</w:t>
            </w:r>
            <w:r w:rsidRPr="00513ED1">
              <w:rPr>
                <w:rFonts w:cs="Arial"/>
                <w:sz w:val="18"/>
                <w:szCs w:val="18"/>
              </w:rPr>
              <w:t xml:space="preserve"> over last 12 months</w:t>
            </w:r>
            <w:r>
              <w:rPr>
                <w:rFonts w:cs="Arial"/>
                <w:sz w:val="18"/>
                <w:szCs w:val="18"/>
              </w:rPr>
              <w:t xml:space="preserve"> </w:t>
            </w:r>
            <w:r w:rsidRPr="00513ED1">
              <w:rPr>
                <w:rFonts w:cs="Arial"/>
                <w:sz w:val="18"/>
                <w:szCs w:val="18"/>
              </w:rPr>
              <w:t xml:space="preserve">(snapshot as at </w:t>
            </w:r>
            <w:r w:rsidR="008E7BCD" w:rsidRPr="00513ED1">
              <w:rPr>
                <w:rFonts w:cs="Arial"/>
                <w:sz w:val="18"/>
                <w:szCs w:val="18"/>
              </w:rPr>
              <w:t>3</w:t>
            </w:r>
            <w:r w:rsidR="008E7BCD">
              <w:rPr>
                <w:rFonts w:cs="Arial"/>
                <w:sz w:val="18"/>
                <w:szCs w:val="18"/>
              </w:rPr>
              <w:t>1/12/18</w:t>
            </w:r>
            <w:r w:rsidR="008E7BCD" w:rsidRPr="00513ED1">
              <w:rPr>
                <w:rFonts w:cs="Arial"/>
                <w:sz w:val="18"/>
                <w:szCs w:val="18"/>
              </w:rPr>
              <w:t>)</w:t>
            </w:r>
          </w:p>
        </w:tc>
        <w:tc>
          <w:tcPr>
            <w:tcW w:w="856" w:type="dxa"/>
            <w:shd w:val="clear" w:color="auto" w:fill="auto"/>
            <w:vAlign w:val="center"/>
            <w:hideMark/>
          </w:tcPr>
          <w:p w14:paraId="19DAC347" w14:textId="77777777" w:rsidR="0091013D" w:rsidRPr="00513ED1" w:rsidRDefault="0091013D" w:rsidP="00FE2C99">
            <w:pPr>
              <w:jc w:val="center"/>
              <w:rPr>
                <w:rFonts w:cs="Arial"/>
                <w:sz w:val="18"/>
                <w:szCs w:val="18"/>
              </w:rPr>
            </w:pPr>
            <w:r w:rsidRPr="00513ED1">
              <w:rPr>
                <w:rFonts w:cs="Arial"/>
                <w:sz w:val="18"/>
                <w:szCs w:val="18"/>
              </w:rPr>
              <w:t>L</w:t>
            </w:r>
          </w:p>
        </w:tc>
        <w:tc>
          <w:tcPr>
            <w:tcW w:w="1134" w:type="dxa"/>
            <w:shd w:val="clear" w:color="000000" w:fill="FFFFFF"/>
            <w:noWrap/>
            <w:vAlign w:val="center"/>
            <w:hideMark/>
          </w:tcPr>
          <w:p w14:paraId="78822832" w14:textId="77777777" w:rsidR="0091013D" w:rsidRPr="00513ED1" w:rsidRDefault="0091013D" w:rsidP="00FE2C99">
            <w:pPr>
              <w:jc w:val="center"/>
              <w:rPr>
                <w:rFonts w:cs="Arial"/>
                <w:sz w:val="18"/>
                <w:szCs w:val="18"/>
              </w:rPr>
            </w:pPr>
            <w:r w:rsidRPr="00513ED1">
              <w:rPr>
                <w:rFonts w:cs="Arial"/>
                <w:sz w:val="18"/>
                <w:szCs w:val="18"/>
              </w:rPr>
              <w:t>7.7%</w:t>
            </w:r>
          </w:p>
        </w:tc>
        <w:tc>
          <w:tcPr>
            <w:tcW w:w="1134" w:type="dxa"/>
            <w:shd w:val="clear" w:color="auto" w:fill="FFFFFF"/>
            <w:vAlign w:val="center"/>
          </w:tcPr>
          <w:p w14:paraId="344D0937" w14:textId="77777777" w:rsidR="0091013D" w:rsidRPr="00513ED1" w:rsidRDefault="0091013D" w:rsidP="00FE2C99">
            <w:pPr>
              <w:jc w:val="center"/>
              <w:rPr>
                <w:sz w:val="18"/>
                <w:szCs w:val="18"/>
              </w:rPr>
            </w:pPr>
            <w:r w:rsidRPr="00513ED1">
              <w:rPr>
                <w:sz w:val="18"/>
                <w:szCs w:val="18"/>
              </w:rPr>
              <w:t>7.9%</w:t>
            </w:r>
          </w:p>
        </w:tc>
        <w:tc>
          <w:tcPr>
            <w:tcW w:w="1177" w:type="dxa"/>
            <w:shd w:val="clear" w:color="auto" w:fill="auto"/>
            <w:vAlign w:val="center"/>
          </w:tcPr>
          <w:p w14:paraId="0A6750FC" w14:textId="77777777" w:rsidR="0091013D" w:rsidRPr="00513ED1" w:rsidRDefault="0091013D" w:rsidP="00FE2C99">
            <w:pPr>
              <w:jc w:val="center"/>
              <w:rPr>
                <w:sz w:val="18"/>
                <w:szCs w:val="18"/>
              </w:rPr>
            </w:pPr>
            <w:r>
              <w:rPr>
                <w:sz w:val="18"/>
                <w:szCs w:val="18"/>
              </w:rPr>
              <w:t>9.1%</w:t>
            </w:r>
          </w:p>
        </w:tc>
        <w:tc>
          <w:tcPr>
            <w:tcW w:w="1177" w:type="dxa"/>
            <w:shd w:val="clear" w:color="auto" w:fill="FFFFFF" w:themeFill="background1"/>
            <w:vAlign w:val="center"/>
          </w:tcPr>
          <w:p w14:paraId="389A8A65" w14:textId="77777777" w:rsidR="0091013D" w:rsidRPr="00C01035" w:rsidRDefault="0091013D" w:rsidP="00FE2C99">
            <w:pPr>
              <w:jc w:val="center"/>
              <w:rPr>
                <w:color w:val="000000" w:themeColor="text1"/>
                <w:sz w:val="18"/>
                <w:szCs w:val="18"/>
              </w:rPr>
            </w:pPr>
            <w:r>
              <w:rPr>
                <w:color w:val="000000" w:themeColor="text1"/>
                <w:sz w:val="18"/>
                <w:szCs w:val="18"/>
              </w:rPr>
              <w:t>9.8%</w:t>
            </w:r>
          </w:p>
        </w:tc>
        <w:tc>
          <w:tcPr>
            <w:tcW w:w="901" w:type="dxa"/>
            <w:shd w:val="clear" w:color="auto" w:fill="C5E0B3" w:themeFill="accent6" w:themeFillTint="66"/>
            <w:vAlign w:val="center"/>
          </w:tcPr>
          <w:p w14:paraId="1BBC1D09" w14:textId="77777777" w:rsidR="0091013D" w:rsidRPr="00C01035" w:rsidRDefault="0091013D" w:rsidP="00FE2C99">
            <w:pPr>
              <w:jc w:val="center"/>
              <w:rPr>
                <w:color w:val="000000" w:themeColor="text1"/>
                <w:sz w:val="18"/>
                <w:szCs w:val="18"/>
              </w:rPr>
            </w:pPr>
            <w:r>
              <w:rPr>
                <w:color w:val="000000" w:themeColor="text1"/>
                <w:sz w:val="18"/>
                <w:szCs w:val="18"/>
              </w:rPr>
              <w:t>9.2%</w:t>
            </w:r>
          </w:p>
        </w:tc>
        <w:tc>
          <w:tcPr>
            <w:tcW w:w="997" w:type="dxa"/>
            <w:shd w:val="clear" w:color="auto" w:fill="FFFFFF"/>
            <w:vAlign w:val="center"/>
          </w:tcPr>
          <w:p w14:paraId="1AB29BAB" w14:textId="77777777" w:rsidR="0091013D" w:rsidRPr="004C1840" w:rsidRDefault="0091013D" w:rsidP="00FE2C99">
            <w:pPr>
              <w:jc w:val="center"/>
              <w:rPr>
                <w:rFonts w:cs="Arial"/>
                <w:color w:val="000000" w:themeColor="text1"/>
                <w:sz w:val="18"/>
                <w:szCs w:val="18"/>
              </w:rPr>
            </w:pPr>
            <w:r w:rsidRPr="004C1840">
              <w:rPr>
                <w:color w:val="000000" w:themeColor="text1"/>
                <w:sz w:val="18"/>
                <w:szCs w:val="18"/>
              </w:rPr>
              <w:t>10%</w:t>
            </w:r>
          </w:p>
        </w:tc>
      </w:tr>
      <w:tr w:rsidR="0091013D" w:rsidRPr="00513ED1" w14:paraId="54398D05" w14:textId="77777777" w:rsidTr="00407851">
        <w:trPr>
          <w:trHeight w:val="179"/>
        </w:trPr>
        <w:tc>
          <w:tcPr>
            <w:tcW w:w="2825" w:type="dxa"/>
            <w:shd w:val="clear" w:color="auto" w:fill="auto"/>
            <w:vAlign w:val="center"/>
            <w:hideMark/>
          </w:tcPr>
          <w:p w14:paraId="20D5D034" w14:textId="77777777" w:rsidR="0091013D" w:rsidRPr="00513ED1" w:rsidRDefault="0091013D" w:rsidP="00FE2C99">
            <w:pPr>
              <w:rPr>
                <w:rFonts w:cs="Arial"/>
                <w:sz w:val="18"/>
                <w:szCs w:val="18"/>
              </w:rPr>
            </w:pPr>
            <w:r w:rsidRPr="00513ED1">
              <w:rPr>
                <w:rFonts w:cs="Arial"/>
                <w:sz w:val="18"/>
                <w:szCs w:val="18"/>
              </w:rPr>
              <w:t>Percentage of staff on Assessed and Supported Year in Em</w:t>
            </w:r>
            <w:r w:rsidR="008E7BCD">
              <w:rPr>
                <w:rFonts w:cs="Arial"/>
                <w:sz w:val="18"/>
                <w:szCs w:val="18"/>
              </w:rPr>
              <w:t xml:space="preserve">ployment (ASYE) (snapshot as at </w:t>
            </w:r>
            <w:r w:rsidR="008E7BCD" w:rsidRPr="00513ED1">
              <w:rPr>
                <w:rFonts w:cs="Arial"/>
                <w:sz w:val="18"/>
                <w:szCs w:val="18"/>
              </w:rPr>
              <w:t>3</w:t>
            </w:r>
            <w:r w:rsidR="008E7BCD">
              <w:rPr>
                <w:rFonts w:cs="Arial"/>
                <w:sz w:val="18"/>
                <w:szCs w:val="18"/>
              </w:rPr>
              <w:t>1/12/18</w:t>
            </w:r>
            <w:r w:rsidR="008E7BCD" w:rsidRPr="00513ED1">
              <w:rPr>
                <w:rFonts w:cs="Arial"/>
                <w:sz w:val="18"/>
                <w:szCs w:val="18"/>
              </w:rPr>
              <w:t>)</w:t>
            </w:r>
          </w:p>
        </w:tc>
        <w:tc>
          <w:tcPr>
            <w:tcW w:w="856" w:type="dxa"/>
            <w:shd w:val="clear" w:color="auto" w:fill="auto"/>
            <w:vAlign w:val="center"/>
            <w:hideMark/>
          </w:tcPr>
          <w:p w14:paraId="45A12059" w14:textId="77777777" w:rsidR="0091013D" w:rsidRPr="00513ED1" w:rsidRDefault="0091013D" w:rsidP="00FE2C99">
            <w:pPr>
              <w:jc w:val="center"/>
              <w:rPr>
                <w:rFonts w:cs="Arial"/>
                <w:sz w:val="18"/>
                <w:szCs w:val="18"/>
              </w:rPr>
            </w:pPr>
            <w:r w:rsidRPr="00513ED1">
              <w:rPr>
                <w:rFonts w:cs="Arial"/>
                <w:sz w:val="18"/>
                <w:szCs w:val="18"/>
              </w:rPr>
              <w:t>L</w:t>
            </w:r>
          </w:p>
        </w:tc>
        <w:tc>
          <w:tcPr>
            <w:tcW w:w="1134" w:type="dxa"/>
            <w:shd w:val="clear" w:color="000000" w:fill="FFFFFF"/>
            <w:noWrap/>
            <w:vAlign w:val="center"/>
            <w:hideMark/>
          </w:tcPr>
          <w:p w14:paraId="5162DEC8" w14:textId="77777777" w:rsidR="0091013D" w:rsidRPr="00513ED1" w:rsidRDefault="00FE2C99" w:rsidP="00FE2C99">
            <w:pPr>
              <w:jc w:val="center"/>
              <w:rPr>
                <w:rFonts w:cs="Arial"/>
                <w:sz w:val="18"/>
                <w:szCs w:val="18"/>
              </w:rPr>
            </w:pPr>
            <w:r>
              <w:rPr>
                <w:rFonts w:cs="Arial"/>
                <w:sz w:val="18"/>
                <w:szCs w:val="18"/>
              </w:rPr>
              <w:t xml:space="preserve">                   </w:t>
            </w:r>
            <w:r w:rsidR="0091013D" w:rsidRPr="00513ED1">
              <w:rPr>
                <w:rFonts w:cs="Arial"/>
                <w:sz w:val="18"/>
                <w:szCs w:val="18"/>
              </w:rPr>
              <w:t>44.9%</w:t>
            </w:r>
          </w:p>
          <w:p w14:paraId="59098070" w14:textId="77777777" w:rsidR="0091013D" w:rsidRPr="00513ED1" w:rsidRDefault="0091013D" w:rsidP="00FE2C99">
            <w:pPr>
              <w:jc w:val="center"/>
              <w:rPr>
                <w:rFonts w:cs="Arial"/>
                <w:sz w:val="18"/>
                <w:szCs w:val="18"/>
              </w:rPr>
            </w:pPr>
          </w:p>
        </w:tc>
        <w:tc>
          <w:tcPr>
            <w:tcW w:w="1134" w:type="dxa"/>
            <w:shd w:val="clear" w:color="auto" w:fill="FFFFFF"/>
            <w:vAlign w:val="center"/>
          </w:tcPr>
          <w:p w14:paraId="5C912419" w14:textId="77777777" w:rsidR="0091013D" w:rsidRPr="00513ED1" w:rsidRDefault="0091013D" w:rsidP="00FE2C99">
            <w:pPr>
              <w:jc w:val="center"/>
              <w:rPr>
                <w:sz w:val="18"/>
                <w:szCs w:val="18"/>
              </w:rPr>
            </w:pPr>
            <w:r w:rsidRPr="00513ED1">
              <w:rPr>
                <w:sz w:val="18"/>
                <w:szCs w:val="18"/>
              </w:rPr>
              <w:t>27.2%</w:t>
            </w:r>
          </w:p>
        </w:tc>
        <w:tc>
          <w:tcPr>
            <w:tcW w:w="1177" w:type="dxa"/>
            <w:shd w:val="clear" w:color="auto" w:fill="auto"/>
            <w:vAlign w:val="center"/>
          </w:tcPr>
          <w:p w14:paraId="4722C400" w14:textId="77777777" w:rsidR="0091013D" w:rsidRPr="00513ED1" w:rsidRDefault="0091013D" w:rsidP="00FE2C99">
            <w:pPr>
              <w:jc w:val="center"/>
              <w:rPr>
                <w:sz w:val="18"/>
                <w:szCs w:val="18"/>
              </w:rPr>
            </w:pPr>
            <w:r>
              <w:rPr>
                <w:sz w:val="18"/>
                <w:szCs w:val="18"/>
              </w:rPr>
              <w:t>23.8%</w:t>
            </w:r>
          </w:p>
        </w:tc>
        <w:tc>
          <w:tcPr>
            <w:tcW w:w="1177" w:type="dxa"/>
            <w:shd w:val="clear" w:color="auto" w:fill="auto"/>
            <w:vAlign w:val="center"/>
          </w:tcPr>
          <w:p w14:paraId="1BC60394" w14:textId="77777777" w:rsidR="0091013D" w:rsidRPr="004C223D" w:rsidRDefault="0091013D" w:rsidP="00FE2C99">
            <w:pPr>
              <w:jc w:val="center"/>
              <w:rPr>
                <w:color w:val="000000" w:themeColor="text1"/>
                <w:sz w:val="18"/>
                <w:szCs w:val="18"/>
              </w:rPr>
            </w:pPr>
            <w:r>
              <w:rPr>
                <w:color w:val="000000" w:themeColor="text1"/>
                <w:sz w:val="18"/>
                <w:szCs w:val="18"/>
              </w:rPr>
              <w:t>29%</w:t>
            </w:r>
          </w:p>
        </w:tc>
        <w:tc>
          <w:tcPr>
            <w:tcW w:w="901" w:type="dxa"/>
            <w:shd w:val="clear" w:color="auto" w:fill="F7CAAC" w:themeFill="accent2" w:themeFillTint="66"/>
            <w:vAlign w:val="center"/>
          </w:tcPr>
          <w:p w14:paraId="1683F47F" w14:textId="77777777" w:rsidR="0091013D" w:rsidRPr="00C01035" w:rsidRDefault="0091013D" w:rsidP="00FE2C99">
            <w:pPr>
              <w:jc w:val="center"/>
              <w:rPr>
                <w:color w:val="000000" w:themeColor="text1"/>
                <w:sz w:val="18"/>
                <w:szCs w:val="18"/>
              </w:rPr>
            </w:pPr>
            <w:r>
              <w:rPr>
                <w:color w:val="000000" w:themeColor="text1"/>
                <w:sz w:val="18"/>
                <w:szCs w:val="18"/>
              </w:rPr>
              <w:t>30.5%</w:t>
            </w:r>
          </w:p>
        </w:tc>
        <w:tc>
          <w:tcPr>
            <w:tcW w:w="997" w:type="dxa"/>
            <w:shd w:val="clear" w:color="auto" w:fill="FFFFFF"/>
            <w:vAlign w:val="center"/>
          </w:tcPr>
          <w:p w14:paraId="5F477AA9" w14:textId="77777777" w:rsidR="0091013D" w:rsidRPr="004C1840" w:rsidRDefault="0091013D" w:rsidP="00FE2C99">
            <w:pPr>
              <w:jc w:val="center"/>
              <w:rPr>
                <w:rFonts w:cs="Arial"/>
                <w:color w:val="000000" w:themeColor="text1"/>
                <w:sz w:val="18"/>
                <w:szCs w:val="18"/>
              </w:rPr>
            </w:pPr>
            <w:r w:rsidRPr="004C1840">
              <w:rPr>
                <w:color w:val="000000" w:themeColor="text1"/>
                <w:sz w:val="18"/>
                <w:szCs w:val="18"/>
              </w:rPr>
              <w:t>-</w:t>
            </w:r>
          </w:p>
        </w:tc>
      </w:tr>
      <w:tr w:rsidR="0091013D" w:rsidRPr="00513ED1" w14:paraId="023EF3C4" w14:textId="77777777" w:rsidTr="00407851">
        <w:trPr>
          <w:trHeight w:val="171"/>
        </w:trPr>
        <w:tc>
          <w:tcPr>
            <w:tcW w:w="2825" w:type="dxa"/>
            <w:shd w:val="clear" w:color="auto" w:fill="auto"/>
            <w:vAlign w:val="center"/>
            <w:hideMark/>
          </w:tcPr>
          <w:p w14:paraId="3EE3DAAC" w14:textId="77777777" w:rsidR="0091013D" w:rsidRPr="00513ED1" w:rsidRDefault="0091013D" w:rsidP="00FE2C99">
            <w:pPr>
              <w:rPr>
                <w:rFonts w:cs="Arial"/>
                <w:sz w:val="18"/>
                <w:szCs w:val="18"/>
              </w:rPr>
            </w:pPr>
            <w:r w:rsidRPr="00513ED1">
              <w:rPr>
                <w:rFonts w:cs="Arial"/>
                <w:sz w:val="18"/>
                <w:szCs w:val="18"/>
              </w:rPr>
              <w:t>Percentage of staff who are experienced social workers (3+ years) (snapshot as at 3</w:t>
            </w:r>
            <w:r w:rsidR="008E7BCD">
              <w:rPr>
                <w:rFonts w:cs="Arial"/>
                <w:sz w:val="18"/>
                <w:szCs w:val="18"/>
              </w:rPr>
              <w:t>1/12/18</w:t>
            </w:r>
            <w:r w:rsidRPr="00513ED1">
              <w:rPr>
                <w:rFonts w:cs="Arial"/>
                <w:sz w:val="18"/>
                <w:szCs w:val="18"/>
              </w:rPr>
              <w:t>)</w:t>
            </w:r>
          </w:p>
        </w:tc>
        <w:tc>
          <w:tcPr>
            <w:tcW w:w="856" w:type="dxa"/>
            <w:shd w:val="clear" w:color="auto" w:fill="auto"/>
            <w:vAlign w:val="center"/>
            <w:hideMark/>
          </w:tcPr>
          <w:p w14:paraId="4648DADD" w14:textId="77777777" w:rsidR="0091013D" w:rsidRPr="00513ED1" w:rsidRDefault="0091013D" w:rsidP="00FE2C99">
            <w:pPr>
              <w:jc w:val="center"/>
              <w:rPr>
                <w:rFonts w:cs="Arial"/>
                <w:sz w:val="18"/>
                <w:szCs w:val="18"/>
              </w:rPr>
            </w:pPr>
            <w:r w:rsidRPr="00513ED1">
              <w:rPr>
                <w:rFonts w:cs="Arial"/>
                <w:sz w:val="18"/>
                <w:szCs w:val="18"/>
              </w:rPr>
              <w:t>H</w:t>
            </w:r>
          </w:p>
        </w:tc>
        <w:tc>
          <w:tcPr>
            <w:tcW w:w="1134" w:type="dxa"/>
            <w:shd w:val="clear" w:color="000000" w:fill="FFFFFF"/>
            <w:noWrap/>
            <w:vAlign w:val="center"/>
            <w:hideMark/>
          </w:tcPr>
          <w:p w14:paraId="74013D14" w14:textId="77777777" w:rsidR="0091013D" w:rsidRPr="00513ED1" w:rsidRDefault="0091013D" w:rsidP="00FE2C99">
            <w:pPr>
              <w:jc w:val="center"/>
              <w:rPr>
                <w:rFonts w:cs="Arial"/>
                <w:sz w:val="18"/>
                <w:szCs w:val="18"/>
              </w:rPr>
            </w:pPr>
            <w:r w:rsidRPr="00513ED1">
              <w:rPr>
                <w:rFonts w:cs="Arial"/>
                <w:sz w:val="18"/>
                <w:szCs w:val="18"/>
              </w:rPr>
              <w:t>New measure</w:t>
            </w:r>
          </w:p>
        </w:tc>
        <w:tc>
          <w:tcPr>
            <w:tcW w:w="1134" w:type="dxa"/>
            <w:shd w:val="clear" w:color="auto" w:fill="FFFFFF"/>
            <w:vAlign w:val="center"/>
          </w:tcPr>
          <w:p w14:paraId="6E911E93" w14:textId="77777777" w:rsidR="0091013D" w:rsidRPr="00513ED1" w:rsidRDefault="0091013D" w:rsidP="00FE2C99">
            <w:pPr>
              <w:jc w:val="center"/>
              <w:rPr>
                <w:sz w:val="18"/>
                <w:szCs w:val="18"/>
              </w:rPr>
            </w:pPr>
            <w:r w:rsidRPr="00513ED1">
              <w:rPr>
                <w:sz w:val="18"/>
                <w:szCs w:val="18"/>
              </w:rPr>
              <w:t>26.0%</w:t>
            </w:r>
          </w:p>
        </w:tc>
        <w:tc>
          <w:tcPr>
            <w:tcW w:w="1177" w:type="dxa"/>
            <w:shd w:val="clear" w:color="auto" w:fill="auto"/>
            <w:vAlign w:val="center"/>
          </w:tcPr>
          <w:p w14:paraId="504EE669" w14:textId="77777777" w:rsidR="0091013D" w:rsidRPr="00513ED1" w:rsidRDefault="0091013D" w:rsidP="00FE2C99">
            <w:pPr>
              <w:jc w:val="center"/>
              <w:rPr>
                <w:sz w:val="18"/>
                <w:szCs w:val="18"/>
              </w:rPr>
            </w:pPr>
            <w:r>
              <w:rPr>
                <w:sz w:val="18"/>
                <w:szCs w:val="18"/>
              </w:rPr>
              <w:t>31.9%</w:t>
            </w:r>
          </w:p>
        </w:tc>
        <w:tc>
          <w:tcPr>
            <w:tcW w:w="1177" w:type="dxa"/>
            <w:shd w:val="clear" w:color="auto" w:fill="auto"/>
            <w:vAlign w:val="center"/>
          </w:tcPr>
          <w:p w14:paraId="7DEA3178" w14:textId="77777777" w:rsidR="0091013D" w:rsidRPr="00C01035" w:rsidRDefault="0091013D" w:rsidP="00FE2C99">
            <w:pPr>
              <w:jc w:val="center"/>
              <w:rPr>
                <w:color w:val="000000" w:themeColor="text1"/>
                <w:sz w:val="18"/>
                <w:szCs w:val="18"/>
              </w:rPr>
            </w:pPr>
            <w:r>
              <w:rPr>
                <w:color w:val="000000" w:themeColor="text1"/>
                <w:sz w:val="18"/>
                <w:szCs w:val="18"/>
              </w:rPr>
              <w:t>30</w:t>
            </w:r>
            <w:r w:rsidR="008E7BCD">
              <w:rPr>
                <w:color w:val="000000" w:themeColor="text1"/>
                <w:sz w:val="18"/>
                <w:szCs w:val="18"/>
              </w:rPr>
              <w:t>.0</w:t>
            </w:r>
            <w:r>
              <w:rPr>
                <w:color w:val="000000" w:themeColor="text1"/>
                <w:sz w:val="18"/>
                <w:szCs w:val="18"/>
              </w:rPr>
              <w:t>%</w:t>
            </w:r>
          </w:p>
        </w:tc>
        <w:tc>
          <w:tcPr>
            <w:tcW w:w="901" w:type="dxa"/>
            <w:shd w:val="clear" w:color="auto" w:fill="C5E0B3" w:themeFill="accent6" w:themeFillTint="66"/>
            <w:vAlign w:val="center"/>
          </w:tcPr>
          <w:p w14:paraId="1C78B4F1" w14:textId="77777777" w:rsidR="0091013D" w:rsidRPr="00C01035" w:rsidRDefault="0091013D" w:rsidP="00FE2C99">
            <w:pPr>
              <w:jc w:val="center"/>
              <w:rPr>
                <w:color w:val="000000" w:themeColor="text1"/>
                <w:sz w:val="18"/>
                <w:szCs w:val="18"/>
              </w:rPr>
            </w:pPr>
            <w:r>
              <w:rPr>
                <w:color w:val="000000" w:themeColor="text1"/>
                <w:sz w:val="18"/>
                <w:szCs w:val="18"/>
              </w:rPr>
              <w:t>35.9%</w:t>
            </w:r>
          </w:p>
        </w:tc>
        <w:tc>
          <w:tcPr>
            <w:tcW w:w="997" w:type="dxa"/>
            <w:shd w:val="clear" w:color="auto" w:fill="FFFFFF"/>
            <w:vAlign w:val="center"/>
          </w:tcPr>
          <w:p w14:paraId="5DC24E33" w14:textId="77777777" w:rsidR="0091013D" w:rsidRPr="004C1840" w:rsidRDefault="0091013D" w:rsidP="00FE2C99">
            <w:pPr>
              <w:jc w:val="center"/>
              <w:rPr>
                <w:rFonts w:cs="Arial"/>
                <w:color w:val="000000" w:themeColor="text1"/>
                <w:sz w:val="18"/>
                <w:szCs w:val="18"/>
              </w:rPr>
            </w:pPr>
            <w:r w:rsidRPr="004C1840">
              <w:rPr>
                <w:color w:val="000000" w:themeColor="text1"/>
                <w:sz w:val="18"/>
                <w:szCs w:val="18"/>
              </w:rPr>
              <w:t>-</w:t>
            </w:r>
          </w:p>
        </w:tc>
      </w:tr>
      <w:tr w:rsidR="0091013D" w:rsidRPr="00513ED1" w14:paraId="340FF144" w14:textId="77777777" w:rsidTr="00407851">
        <w:trPr>
          <w:trHeight w:val="237"/>
        </w:trPr>
        <w:tc>
          <w:tcPr>
            <w:tcW w:w="2825" w:type="dxa"/>
            <w:shd w:val="clear" w:color="auto" w:fill="auto"/>
            <w:vAlign w:val="center"/>
            <w:hideMark/>
          </w:tcPr>
          <w:p w14:paraId="441A55A2" w14:textId="77777777" w:rsidR="0091013D" w:rsidRPr="00513ED1" w:rsidRDefault="0091013D" w:rsidP="00FE2C99">
            <w:pPr>
              <w:rPr>
                <w:rFonts w:cs="Arial"/>
                <w:sz w:val="18"/>
                <w:szCs w:val="18"/>
              </w:rPr>
            </w:pPr>
            <w:r w:rsidRPr="00513ED1">
              <w:rPr>
                <w:rFonts w:cs="Arial"/>
                <w:sz w:val="18"/>
                <w:szCs w:val="18"/>
              </w:rPr>
              <w:t xml:space="preserve">Average caseload per social worker (snapshot as </w:t>
            </w:r>
            <w:r w:rsidR="008E7BCD">
              <w:rPr>
                <w:rFonts w:cs="Arial"/>
                <w:sz w:val="18"/>
                <w:szCs w:val="18"/>
              </w:rPr>
              <w:t xml:space="preserve">at </w:t>
            </w:r>
            <w:r w:rsidR="008E7BCD" w:rsidRPr="00513ED1">
              <w:rPr>
                <w:rFonts w:cs="Arial"/>
                <w:sz w:val="18"/>
                <w:szCs w:val="18"/>
              </w:rPr>
              <w:t>3</w:t>
            </w:r>
            <w:r w:rsidR="008E7BCD">
              <w:rPr>
                <w:rFonts w:cs="Arial"/>
                <w:sz w:val="18"/>
                <w:szCs w:val="18"/>
              </w:rPr>
              <w:t>1/12/18</w:t>
            </w:r>
            <w:r w:rsidR="008E7BCD" w:rsidRPr="00513ED1">
              <w:rPr>
                <w:rFonts w:cs="Arial"/>
                <w:sz w:val="18"/>
                <w:szCs w:val="18"/>
              </w:rPr>
              <w:t>)</w:t>
            </w:r>
          </w:p>
        </w:tc>
        <w:tc>
          <w:tcPr>
            <w:tcW w:w="856" w:type="dxa"/>
            <w:shd w:val="clear" w:color="auto" w:fill="auto"/>
            <w:vAlign w:val="center"/>
            <w:hideMark/>
          </w:tcPr>
          <w:p w14:paraId="415400DE" w14:textId="77777777" w:rsidR="0091013D" w:rsidRPr="00513ED1" w:rsidRDefault="0091013D" w:rsidP="00FE2C99">
            <w:pPr>
              <w:jc w:val="center"/>
              <w:rPr>
                <w:rFonts w:cs="Arial"/>
                <w:sz w:val="18"/>
                <w:szCs w:val="18"/>
              </w:rPr>
            </w:pPr>
            <w:r w:rsidRPr="00513ED1">
              <w:rPr>
                <w:rFonts w:cs="Arial"/>
                <w:sz w:val="18"/>
                <w:szCs w:val="18"/>
              </w:rPr>
              <w:t>L</w:t>
            </w:r>
          </w:p>
        </w:tc>
        <w:tc>
          <w:tcPr>
            <w:tcW w:w="1134" w:type="dxa"/>
            <w:shd w:val="clear" w:color="000000" w:fill="FFFFFF"/>
            <w:noWrap/>
            <w:vAlign w:val="center"/>
            <w:hideMark/>
          </w:tcPr>
          <w:p w14:paraId="4EB22D66" w14:textId="77777777" w:rsidR="0091013D" w:rsidRPr="00513ED1" w:rsidRDefault="0091013D" w:rsidP="00FE2C99">
            <w:pPr>
              <w:jc w:val="center"/>
              <w:rPr>
                <w:rFonts w:cs="Arial"/>
                <w:sz w:val="18"/>
                <w:szCs w:val="18"/>
              </w:rPr>
            </w:pPr>
            <w:r w:rsidRPr="00513ED1">
              <w:rPr>
                <w:rFonts w:cs="Arial"/>
                <w:sz w:val="18"/>
                <w:szCs w:val="18"/>
              </w:rPr>
              <w:t>New measure</w:t>
            </w:r>
          </w:p>
        </w:tc>
        <w:tc>
          <w:tcPr>
            <w:tcW w:w="1134" w:type="dxa"/>
            <w:shd w:val="clear" w:color="auto" w:fill="FFFFFF"/>
            <w:vAlign w:val="center"/>
          </w:tcPr>
          <w:p w14:paraId="24847959" w14:textId="77777777" w:rsidR="0091013D" w:rsidRPr="00513ED1" w:rsidRDefault="0091013D" w:rsidP="00FE2C99">
            <w:pPr>
              <w:jc w:val="center"/>
              <w:rPr>
                <w:sz w:val="18"/>
                <w:szCs w:val="18"/>
              </w:rPr>
            </w:pPr>
            <w:r w:rsidRPr="00513ED1">
              <w:rPr>
                <w:sz w:val="18"/>
                <w:szCs w:val="18"/>
              </w:rPr>
              <w:t>22.0</w:t>
            </w:r>
          </w:p>
        </w:tc>
        <w:tc>
          <w:tcPr>
            <w:tcW w:w="1177" w:type="dxa"/>
            <w:shd w:val="clear" w:color="auto" w:fill="auto"/>
            <w:vAlign w:val="center"/>
          </w:tcPr>
          <w:p w14:paraId="09301644" w14:textId="77777777" w:rsidR="0091013D" w:rsidRPr="00513ED1" w:rsidRDefault="0091013D" w:rsidP="00FE2C99">
            <w:pPr>
              <w:jc w:val="center"/>
              <w:rPr>
                <w:sz w:val="18"/>
                <w:szCs w:val="18"/>
              </w:rPr>
            </w:pPr>
            <w:r>
              <w:rPr>
                <w:sz w:val="18"/>
                <w:szCs w:val="18"/>
              </w:rPr>
              <w:t>22.9</w:t>
            </w:r>
          </w:p>
        </w:tc>
        <w:tc>
          <w:tcPr>
            <w:tcW w:w="1177" w:type="dxa"/>
            <w:shd w:val="clear" w:color="auto" w:fill="auto"/>
            <w:vAlign w:val="center"/>
          </w:tcPr>
          <w:p w14:paraId="14D2D465" w14:textId="77777777" w:rsidR="0091013D" w:rsidRPr="00C01035" w:rsidRDefault="0091013D" w:rsidP="00FE2C99">
            <w:pPr>
              <w:jc w:val="center"/>
              <w:rPr>
                <w:color w:val="000000" w:themeColor="text1"/>
                <w:sz w:val="18"/>
                <w:szCs w:val="18"/>
              </w:rPr>
            </w:pPr>
            <w:r>
              <w:rPr>
                <w:color w:val="000000" w:themeColor="text1"/>
                <w:sz w:val="18"/>
                <w:szCs w:val="18"/>
              </w:rPr>
              <w:t>20</w:t>
            </w:r>
            <w:r w:rsidR="008E7BCD">
              <w:rPr>
                <w:color w:val="000000" w:themeColor="text1"/>
                <w:sz w:val="18"/>
                <w:szCs w:val="18"/>
              </w:rPr>
              <w:t>.0</w:t>
            </w:r>
          </w:p>
        </w:tc>
        <w:tc>
          <w:tcPr>
            <w:tcW w:w="901" w:type="dxa"/>
            <w:shd w:val="clear" w:color="auto" w:fill="C5E0B3" w:themeFill="accent6" w:themeFillTint="66"/>
            <w:vAlign w:val="center"/>
          </w:tcPr>
          <w:p w14:paraId="772AE82D" w14:textId="77777777" w:rsidR="0091013D" w:rsidRPr="00C01035" w:rsidRDefault="0091013D" w:rsidP="00FE2C99">
            <w:pPr>
              <w:jc w:val="center"/>
              <w:rPr>
                <w:color w:val="000000" w:themeColor="text1"/>
                <w:sz w:val="18"/>
                <w:szCs w:val="18"/>
              </w:rPr>
            </w:pPr>
            <w:r>
              <w:rPr>
                <w:color w:val="000000" w:themeColor="text1"/>
                <w:sz w:val="18"/>
                <w:szCs w:val="18"/>
              </w:rPr>
              <w:t>19.8</w:t>
            </w:r>
          </w:p>
        </w:tc>
        <w:tc>
          <w:tcPr>
            <w:tcW w:w="997" w:type="dxa"/>
            <w:shd w:val="clear" w:color="auto" w:fill="FFFFFF"/>
            <w:vAlign w:val="center"/>
          </w:tcPr>
          <w:p w14:paraId="4419FD1C" w14:textId="77777777" w:rsidR="0091013D" w:rsidRPr="004C1840" w:rsidRDefault="0091013D" w:rsidP="00FE2C99">
            <w:pPr>
              <w:jc w:val="center"/>
              <w:rPr>
                <w:rFonts w:cs="Arial"/>
                <w:color w:val="000000" w:themeColor="text1"/>
                <w:sz w:val="18"/>
                <w:szCs w:val="18"/>
              </w:rPr>
            </w:pPr>
            <w:r w:rsidRPr="004C1840">
              <w:rPr>
                <w:color w:val="000000" w:themeColor="text1"/>
                <w:sz w:val="18"/>
                <w:szCs w:val="18"/>
              </w:rPr>
              <w:t>-</w:t>
            </w:r>
          </w:p>
        </w:tc>
      </w:tr>
    </w:tbl>
    <w:p w14:paraId="62A78C3A" w14:textId="77777777" w:rsidR="0091013D" w:rsidRDefault="0091013D" w:rsidP="0091013D">
      <w:pPr>
        <w:rPr>
          <w:rFonts w:eastAsiaTheme="minorHAnsi" w:cs="Arial"/>
          <w:i/>
          <w:color w:val="000000" w:themeColor="text1"/>
          <w:szCs w:val="24"/>
          <w:lang w:eastAsia="en-US"/>
        </w:rPr>
      </w:pPr>
    </w:p>
    <w:p w14:paraId="50BB74B2" w14:textId="77777777" w:rsidR="0091013D" w:rsidRPr="00973284" w:rsidRDefault="0091013D" w:rsidP="0091013D">
      <w:pPr>
        <w:rPr>
          <w:rFonts w:eastAsiaTheme="minorHAnsi" w:cs="Arial"/>
          <w:i/>
          <w:color w:val="000000" w:themeColor="text1"/>
          <w:szCs w:val="24"/>
          <w:lang w:eastAsia="en-US"/>
        </w:rPr>
      </w:pPr>
      <w:r w:rsidRPr="00973284">
        <w:rPr>
          <w:rFonts w:eastAsiaTheme="minorHAnsi" w:cs="Arial"/>
          <w:i/>
          <w:color w:val="000000" w:themeColor="text1"/>
          <w:szCs w:val="24"/>
          <w:lang w:eastAsia="en-US"/>
        </w:rPr>
        <w:t>Children's Social Care</w:t>
      </w:r>
    </w:p>
    <w:p w14:paraId="4278B285" w14:textId="4A585A05" w:rsidR="0091013D" w:rsidRPr="00620BA1" w:rsidRDefault="0091013D" w:rsidP="0091013D">
      <w:pPr>
        <w:spacing w:after="200"/>
        <w:jc w:val="both"/>
        <w:rPr>
          <w:rFonts w:eastAsiaTheme="minorEastAsia" w:cs="Arial"/>
          <w:color w:val="000000" w:themeColor="text1"/>
          <w:szCs w:val="24"/>
        </w:rPr>
      </w:pPr>
      <w:r w:rsidRPr="00620BA1">
        <w:rPr>
          <w:rFonts w:eastAsiaTheme="minorEastAsia" w:cs="Arial"/>
          <w:color w:val="000000" w:themeColor="text1"/>
          <w:szCs w:val="24"/>
        </w:rPr>
        <w:t>There has been a 17% decrease in referrals received during quarter three when compared to the same period the previous year (3,010 referrals Q3 2017/18)</w:t>
      </w:r>
      <w:r w:rsidR="009B71DB">
        <w:rPr>
          <w:rFonts w:eastAsiaTheme="minorEastAsia" w:cs="Arial"/>
          <w:color w:val="000000" w:themeColor="text1"/>
          <w:szCs w:val="24"/>
        </w:rPr>
        <w:t>.</w:t>
      </w:r>
      <w:r w:rsidRPr="00620BA1">
        <w:rPr>
          <w:rFonts w:eastAsiaTheme="minorEastAsia" w:cs="Arial"/>
          <w:color w:val="000000" w:themeColor="text1"/>
          <w:szCs w:val="24"/>
        </w:rPr>
        <w:t xml:space="preserve"> </w:t>
      </w:r>
      <w:r w:rsidR="009B71DB">
        <w:rPr>
          <w:rFonts w:eastAsiaTheme="minorEastAsia" w:cs="Arial"/>
          <w:color w:val="000000" w:themeColor="text1"/>
          <w:szCs w:val="24"/>
        </w:rPr>
        <w:t>Just over a third of</w:t>
      </w:r>
      <w:r w:rsidRPr="00620BA1">
        <w:rPr>
          <w:rFonts w:eastAsiaTheme="minorEastAsia" w:cs="Arial"/>
          <w:color w:val="000000" w:themeColor="text1"/>
          <w:szCs w:val="24"/>
        </w:rPr>
        <w:t xml:space="preserve"> referrals in quarter three 2018/19 originated from the Police (874 referrals or 35.2%). </w:t>
      </w:r>
    </w:p>
    <w:p w14:paraId="2B657AB3" w14:textId="77777777" w:rsidR="0091013D" w:rsidRPr="00620BA1" w:rsidRDefault="0091013D" w:rsidP="0091013D">
      <w:pPr>
        <w:spacing w:after="200"/>
        <w:jc w:val="both"/>
        <w:rPr>
          <w:rFonts w:eastAsiaTheme="minorEastAsia" w:cs="Arial"/>
          <w:color w:val="000000" w:themeColor="text1"/>
          <w:szCs w:val="24"/>
        </w:rPr>
      </w:pPr>
      <w:r w:rsidRPr="00620BA1">
        <w:rPr>
          <w:rFonts w:eastAsiaTheme="minorEastAsia" w:cs="Arial"/>
          <w:color w:val="000000" w:themeColor="text1"/>
          <w:szCs w:val="24"/>
        </w:rPr>
        <w:lastRenderedPageBreak/>
        <w:t>Around 25% of assessments completed during quarter t</w:t>
      </w:r>
      <w:r>
        <w:rPr>
          <w:rFonts w:eastAsiaTheme="minorEastAsia" w:cs="Arial"/>
          <w:color w:val="000000" w:themeColor="text1"/>
          <w:szCs w:val="24"/>
        </w:rPr>
        <w:t>hree</w:t>
      </w:r>
      <w:r w:rsidRPr="00620BA1">
        <w:rPr>
          <w:rFonts w:eastAsiaTheme="minorEastAsia" w:cs="Arial"/>
          <w:color w:val="000000" w:themeColor="text1"/>
          <w:szCs w:val="24"/>
        </w:rPr>
        <w:t xml:space="preserve"> took over 45 days to complete which is higher than all comp</w:t>
      </w:r>
      <w:r>
        <w:rPr>
          <w:rFonts w:eastAsiaTheme="minorEastAsia" w:cs="Arial"/>
          <w:color w:val="000000" w:themeColor="text1"/>
          <w:szCs w:val="24"/>
        </w:rPr>
        <w:t xml:space="preserve">arator averages (England 17.3% and </w:t>
      </w:r>
      <w:r w:rsidRPr="00620BA1">
        <w:rPr>
          <w:rFonts w:eastAsiaTheme="minorEastAsia" w:cs="Arial"/>
          <w:color w:val="000000" w:themeColor="text1"/>
          <w:szCs w:val="24"/>
        </w:rPr>
        <w:t>North West 16.3%).</w:t>
      </w:r>
    </w:p>
    <w:p w14:paraId="6F20EB75" w14:textId="749BBBD8" w:rsidR="00C55A31" w:rsidRDefault="009B71DB" w:rsidP="0091013D">
      <w:pPr>
        <w:jc w:val="both"/>
        <w:rPr>
          <w:rFonts w:eastAsiaTheme="minorEastAsia" w:cs="Arial"/>
          <w:color w:val="000000" w:themeColor="text1"/>
          <w:szCs w:val="24"/>
        </w:rPr>
      </w:pPr>
      <w:r>
        <w:rPr>
          <w:rFonts w:eastAsiaTheme="minorEastAsia" w:cs="Arial"/>
          <w:color w:val="000000" w:themeColor="text1"/>
          <w:szCs w:val="24"/>
        </w:rPr>
        <w:t>T</w:t>
      </w:r>
      <w:r w:rsidR="0091013D" w:rsidRPr="00D10047">
        <w:rPr>
          <w:rFonts w:eastAsiaTheme="minorEastAsia" w:cs="Arial"/>
          <w:color w:val="000000" w:themeColor="text1"/>
          <w:szCs w:val="24"/>
        </w:rPr>
        <w:t>he latest rate</w:t>
      </w:r>
      <w:r>
        <w:rPr>
          <w:rFonts w:eastAsiaTheme="minorEastAsia" w:cs="Arial"/>
          <w:color w:val="000000" w:themeColor="text1"/>
          <w:szCs w:val="24"/>
        </w:rPr>
        <w:t xml:space="preserve"> of children with child protection plans</w:t>
      </w:r>
      <w:r w:rsidR="00B87EFF">
        <w:rPr>
          <w:rFonts w:eastAsiaTheme="minorEastAsia" w:cs="Arial"/>
          <w:color w:val="000000" w:themeColor="text1"/>
          <w:szCs w:val="24"/>
        </w:rPr>
        <w:t xml:space="preserve"> </w:t>
      </w:r>
      <w:r w:rsidR="0091013D" w:rsidRPr="00D10047">
        <w:rPr>
          <w:rFonts w:eastAsiaTheme="minorEastAsia" w:cs="Arial"/>
          <w:color w:val="000000" w:themeColor="text1"/>
          <w:szCs w:val="24"/>
        </w:rPr>
        <w:t xml:space="preserve">(53.6) </w:t>
      </w:r>
      <w:r>
        <w:rPr>
          <w:rFonts w:eastAsiaTheme="minorEastAsia" w:cs="Arial"/>
          <w:color w:val="000000" w:themeColor="text1"/>
          <w:szCs w:val="24"/>
        </w:rPr>
        <w:t>remains</w:t>
      </w:r>
      <w:r w:rsidRPr="00D10047">
        <w:rPr>
          <w:rFonts w:eastAsiaTheme="minorEastAsia" w:cs="Arial"/>
          <w:color w:val="000000" w:themeColor="text1"/>
          <w:szCs w:val="24"/>
        </w:rPr>
        <w:t xml:space="preserve"> </w:t>
      </w:r>
      <w:r w:rsidR="0091013D" w:rsidRPr="00D10047">
        <w:rPr>
          <w:rFonts w:eastAsiaTheme="minorEastAsia" w:cs="Arial"/>
          <w:color w:val="000000" w:themeColor="text1"/>
          <w:szCs w:val="24"/>
        </w:rPr>
        <w:t>significantly higher than the national rate</w:t>
      </w:r>
      <w:r w:rsidR="00B87EFF">
        <w:rPr>
          <w:rFonts w:eastAsiaTheme="minorEastAsia" w:cs="Arial"/>
          <w:color w:val="000000" w:themeColor="text1"/>
          <w:szCs w:val="24"/>
        </w:rPr>
        <w:t xml:space="preserve"> </w:t>
      </w:r>
      <w:r w:rsidR="0091013D" w:rsidRPr="00D10047">
        <w:rPr>
          <w:rFonts w:eastAsiaTheme="minorEastAsia" w:cs="Arial"/>
          <w:color w:val="000000" w:themeColor="text1"/>
          <w:szCs w:val="24"/>
        </w:rPr>
        <w:t xml:space="preserve">the number of children looked after increased again on the previous quarter.  </w:t>
      </w:r>
    </w:p>
    <w:p w14:paraId="441583C8" w14:textId="77777777" w:rsidR="00B87EFF" w:rsidRDefault="00B87EFF" w:rsidP="0091013D">
      <w:pPr>
        <w:jc w:val="both"/>
        <w:rPr>
          <w:rFonts w:eastAsiaTheme="minorEastAsia" w:cs="Arial"/>
          <w:color w:val="000000" w:themeColor="text1"/>
          <w:szCs w:val="24"/>
        </w:rPr>
      </w:pPr>
    </w:p>
    <w:p w14:paraId="5F4B6D92" w14:textId="2F0E808B" w:rsidR="0091013D" w:rsidRPr="00D10047" w:rsidRDefault="0091013D" w:rsidP="0091013D">
      <w:pPr>
        <w:jc w:val="both"/>
        <w:rPr>
          <w:rFonts w:eastAsiaTheme="minorHAnsi" w:cs="Arial"/>
          <w:color w:val="000000" w:themeColor="text1"/>
          <w:szCs w:val="24"/>
          <w:lang w:eastAsia="en-US"/>
        </w:rPr>
      </w:pPr>
      <w:r w:rsidRPr="00C946DF">
        <w:rPr>
          <w:rFonts w:eastAsiaTheme="minorHAnsi" w:cs="Arial"/>
          <w:color w:val="000000" w:themeColor="text1"/>
          <w:szCs w:val="24"/>
          <w:lang w:eastAsia="en-US"/>
        </w:rPr>
        <w:t xml:space="preserve">Average caseloads have remained stable, but some workers </w:t>
      </w:r>
      <w:r w:rsidR="009B71DB">
        <w:rPr>
          <w:rFonts w:eastAsiaTheme="minorHAnsi" w:cs="Arial"/>
          <w:color w:val="000000" w:themeColor="text1"/>
          <w:szCs w:val="24"/>
          <w:lang w:eastAsia="en-US"/>
        </w:rPr>
        <w:t xml:space="preserve">have very high caseloads </w:t>
      </w:r>
      <w:r w:rsidRPr="00C946DF">
        <w:rPr>
          <w:rFonts w:eastAsiaTheme="minorHAnsi" w:cs="Arial"/>
          <w:color w:val="000000" w:themeColor="text1"/>
          <w:szCs w:val="24"/>
          <w:lang w:eastAsia="en-US"/>
        </w:rPr>
        <w:t xml:space="preserve">which </w:t>
      </w:r>
      <w:r w:rsidR="009B71DB">
        <w:rPr>
          <w:rFonts w:eastAsiaTheme="minorHAnsi" w:cs="Arial"/>
          <w:color w:val="000000" w:themeColor="text1"/>
          <w:szCs w:val="24"/>
          <w:lang w:eastAsia="en-US"/>
        </w:rPr>
        <w:t>impact</w:t>
      </w:r>
      <w:r w:rsidRPr="00C946DF">
        <w:rPr>
          <w:rFonts w:eastAsiaTheme="minorHAnsi" w:cs="Arial"/>
          <w:color w:val="000000" w:themeColor="text1"/>
          <w:szCs w:val="24"/>
          <w:lang w:eastAsia="en-US"/>
        </w:rPr>
        <w:t xml:space="preserve"> on the quality of practice</w:t>
      </w:r>
      <w:r w:rsidR="00B56AF1">
        <w:rPr>
          <w:rFonts w:eastAsiaTheme="minorHAnsi" w:cs="Arial"/>
          <w:color w:val="000000" w:themeColor="text1"/>
          <w:szCs w:val="24"/>
          <w:lang w:eastAsia="en-US"/>
        </w:rPr>
        <w:t>.</w:t>
      </w:r>
      <w:r>
        <w:rPr>
          <w:rFonts w:eastAsiaTheme="minorHAnsi" w:cs="Arial"/>
          <w:color w:val="000000" w:themeColor="text1"/>
          <w:szCs w:val="24"/>
          <w:lang w:eastAsia="en-US"/>
        </w:rPr>
        <w:t xml:space="preserve"> </w:t>
      </w:r>
      <w:r w:rsidR="00B87EFF">
        <w:rPr>
          <w:rFonts w:eastAsiaTheme="minorHAnsi" w:cs="Arial"/>
          <w:color w:val="000000" w:themeColor="text1"/>
          <w:szCs w:val="24"/>
          <w:lang w:eastAsia="en-US"/>
        </w:rPr>
        <w:t xml:space="preserve"> </w:t>
      </w:r>
      <w:r w:rsidRPr="00C946DF">
        <w:rPr>
          <w:rFonts w:eastAsiaTheme="minorHAnsi" w:cs="Arial"/>
          <w:color w:val="000000" w:themeColor="text1"/>
          <w:szCs w:val="24"/>
          <w:lang w:eastAsia="en-US"/>
        </w:rPr>
        <w:t xml:space="preserve">An audit of caseloads has been completed and actions agreed to address this. </w:t>
      </w:r>
      <w:r>
        <w:rPr>
          <w:rFonts w:eastAsiaTheme="minorHAnsi" w:cs="Arial"/>
          <w:color w:val="000000" w:themeColor="text1"/>
          <w:szCs w:val="24"/>
          <w:lang w:eastAsia="en-US"/>
        </w:rPr>
        <w:t xml:space="preserve"> </w:t>
      </w:r>
    </w:p>
    <w:p w14:paraId="6BB7614A" w14:textId="77777777" w:rsidR="0091013D" w:rsidRPr="009A17E1" w:rsidRDefault="0091013D" w:rsidP="0091013D">
      <w:pPr>
        <w:jc w:val="both"/>
        <w:rPr>
          <w:rFonts w:eastAsiaTheme="minorHAnsi" w:cs="Arial"/>
          <w:color w:val="000000" w:themeColor="text1"/>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936"/>
        <w:gridCol w:w="912"/>
        <w:gridCol w:w="912"/>
        <w:gridCol w:w="936"/>
        <w:gridCol w:w="936"/>
        <w:gridCol w:w="936"/>
        <w:gridCol w:w="1137"/>
      </w:tblGrid>
      <w:tr w:rsidR="0091013D" w:rsidRPr="004F43A4" w14:paraId="06F7B45A" w14:textId="77777777" w:rsidTr="00CE2949">
        <w:trPr>
          <w:trHeight w:val="254"/>
        </w:trPr>
        <w:tc>
          <w:tcPr>
            <w:tcW w:w="3071" w:type="dxa"/>
            <w:shd w:val="clear" w:color="000000" w:fill="D9D9D9"/>
            <w:vAlign w:val="center"/>
            <w:hideMark/>
          </w:tcPr>
          <w:p w14:paraId="751C3942" w14:textId="77777777" w:rsidR="0091013D" w:rsidRPr="004F43A4" w:rsidRDefault="0091013D" w:rsidP="0091013D">
            <w:pPr>
              <w:rPr>
                <w:rFonts w:cs="Arial"/>
                <w:b/>
                <w:bCs/>
                <w:sz w:val="18"/>
                <w:szCs w:val="18"/>
              </w:rPr>
            </w:pPr>
            <w:r w:rsidRPr="004F43A4">
              <w:rPr>
                <w:rFonts w:cs="Arial"/>
                <w:b/>
                <w:bCs/>
                <w:sz w:val="18"/>
                <w:szCs w:val="18"/>
              </w:rPr>
              <w:t>Performance Measure</w:t>
            </w:r>
          </w:p>
        </w:tc>
        <w:tc>
          <w:tcPr>
            <w:tcW w:w="936" w:type="dxa"/>
            <w:shd w:val="clear" w:color="000000" w:fill="D9D9D9"/>
            <w:vAlign w:val="center"/>
            <w:hideMark/>
          </w:tcPr>
          <w:p w14:paraId="56CD9009" w14:textId="77777777" w:rsidR="0091013D" w:rsidRPr="004F43A4" w:rsidRDefault="0091013D" w:rsidP="0091013D">
            <w:pPr>
              <w:jc w:val="center"/>
              <w:rPr>
                <w:rFonts w:cs="Arial"/>
                <w:b/>
                <w:bCs/>
                <w:sz w:val="18"/>
                <w:szCs w:val="18"/>
              </w:rPr>
            </w:pPr>
            <w:r w:rsidRPr="004F43A4">
              <w:rPr>
                <w:rFonts w:cs="Arial"/>
                <w:b/>
                <w:bCs/>
                <w:sz w:val="18"/>
                <w:szCs w:val="18"/>
              </w:rPr>
              <w:t>Good is High or Low</w:t>
            </w:r>
          </w:p>
        </w:tc>
        <w:tc>
          <w:tcPr>
            <w:tcW w:w="912" w:type="dxa"/>
            <w:shd w:val="clear" w:color="000000" w:fill="D9D9D9"/>
            <w:noWrap/>
            <w:vAlign w:val="center"/>
            <w:hideMark/>
          </w:tcPr>
          <w:p w14:paraId="271B9B3D" w14:textId="77777777" w:rsidR="0091013D" w:rsidRPr="004F43A4" w:rsidRDefault="0091013D" w:rsidP="0091013D">
            <w:pPr>
              <w:jc w:val="center"/>
              <w:rPr>
                <w:rFonts w:cs="Arial"/>
                <w:b/>
                <w:bCs/>
                <w:sz w:val="18"/>
                <w:szCs w:val="18"/>
              </w:rPr>
            </w:pPr>
            <w:r w:rsidRPr="004F43A4">
              <w:rPr>
                <w:rFonts w:cs="Arial"/>
                <w:b/>
                <w:bCs/>
                <w:sz w:val="18"/>
                <w:szCs w:val="18"/>
              </w:rPr>
              <w:t>2016/17</w:t>
            </w:r>
          </w:p>
        </w:tc>
        <w:tc>
          <w:tcPr>
            <w:tcW w:w="912" w:type="dxa"/>
            <w:shd w:val="clear" w:color="000000" w:fill="D9D9D9"/>
            <w:vAlign w:val="center"/>
          </w:tcPr>
          <w:p w14:paraId="691F3133" w14:textId="77777777" w:rsidR="0091013D" w:rsidRPr="004F43A4" w:rsidRDefault="0091013D" w:rsidP="0091013D">
            <w:pPr>
              <w:jc w:val="center"/>
              <w:rPr>
                <w:rFonts w:cs="Arial"/>
                <w:b/>
                <w:bCs/>
                <w:sz w:val="18"/>
                <w:szCs w:val="18"/>
              </w:rPr>
            </w:pPr>
            <w:r w:rsidRPr="004F43A4">
              <w:rPr>
                <w:rFonts w:cs="Arial"/>
                <w:b/>
                <w:bCs/>
                <w:sz w:val="18"/>
                <w:szCs w:val="18"/>
              </w:rPr>
              <w:t>2017/18</w:t>
            </w:r>
          </w:p>
        </w:tc>
        <w:tc>
          <w:tcPr>
            <w:tcW w:w="936" w:type="dxa"/>
            <w:shd w:val="clear" w:color="000000" w:fill="D9D9D9"/>
            <w:vAlign w:val="center"/>
          </w:tcPr>
          <w:p w14:paraId="6CAF5AA6" w14:textId="77777777" w:rsidR="0091013D" w:rsidRPr="00D375EA" w:rsidRDefault="0091013D" w:rsidP="0091013D">
            <w:pPr>
              <w:jc w:val="center"/>
              <w:rPr>
                <w:rFonts w:cs="Arial"/>
                <w:b/>
                <w:bCs/>
                <w:color w:val="000000" w:themeColor="text1"/>
                <w:sz w:val="18"/>
                <w:szCs w:val="18"/>
              </w:rPr>
            </w:pPr>
            <w:r w:rsidRPr="00D375EA">
              <w:rPr>
                <w:rFonts w:cs="Arial"/>
                <w:b/>
                <w:bCs/>
                <w:color w:val="000000" w:themeColor="text1"/>
                <w:sz w:val="18"/>
                <w:szCs w:val="18"/>
              </w:rPr>
              <w:t>Q1 2018/19</w:t>
            </w:r>
          </w:p>
        </w:tc>
        <w:tc>
          <w:tcPr>
            <w:tcW w:w="936" w:type="dxa"/>
            <w:shd w:val="clear" w:color="000000" w:fill="D9D9D9"/>
            <w:vAlign w:val="center"/>
          </w:tcPr>
          <w:p w14:paraId="1E358C71" w14:textId="77777777" w:rsidR="0091013D" w:rsidRPr="00D375EA" w:rsidRDefault="0091013D" w:rsidP="0091013D">
            <w:pPr>
              <w:jc w:val="center"/>
              <w:rPr>
                <w:rFonts w:cs="Arial"/>
                <w:b/>
                <w:bCs/>
                <w:color w:val="000000" w:themeColor="text1"/>
                <w:sz w:val="18"/>
                <w:szCs w:val="18"/>
              </w:rPr>
            </w:pPr>
            <w:r w:rsidRPr="00297FBD">
              <w:rPr>
                <w:rFonts w:cs="Arial"/>
                <w:b/>
                <w:bCs/>
                <w:color w:val="000000" w:themeColor="text1"/>
                <w:sz w:val="18"/>
                <w:szCs w:val="18"/>
              </w:rPr>
              <w:t>Q2 2018/19</w:t>
            </w:r>
          </w:p>
        </w:tc>
        <w:tc>
          <w:tcPr>
            <w:tcW w:w="936" w:type="dxa"/>
            <w:shd w:val="clear" w:color="000000" w:fill="D9D9D9"/>
            <w:vAlign w:val="center"/>
          </w:tcPr>
          <w:p w14:paraId="07598187" w14:textId="77777777" w:rsidR="0091013D" w:rsidRPr="00D10047" w:rsidRDefault="0091013D" w:rsidP="0091013D">
            <w:pPr>
              <w:jc w:val="center"/>
              <w:rPr>
                <w:rFonts w:cs="Arial"/>
                <w:b/>
                <w:bCs/>
                <w:color w:val="000000" w:themeColor="text1"/>
                <w:sz w:val="18"/>
                <w:szCs w:val="18"/>
              </w:rPr>
            </w:pPr>
            <w:r w:rsidRPr="00D10047">
              <w:rPr>
                <w:rFonts w:cs="Arial"/>
                <w:b/>
                <w:bCs/>
                <w:color w:val="000000" w:themeColor="text1"/>
                <w:sz w:val="18"/>
                <w:szCs w:val="18"/>
              </w:rPr>
              <w:t>Q3</w:t>
            </w:r>
          </w:p>
          <w:p w14:paraId="0FCACD8C" w14:textId="77777777" w:rsidR="0091013D" w:rsidRPr="00D10047" w:rsidRDefault="0091013D" w:rsidP="0091013D">
            <w:pPr>
              <w:jc w:val="center"/>
              <w:rPr>
                <w:rFonts w:cs="Arial"/>
                <w:b/>
                <w:bCs/>
                <w:color w:val="000000" w:themeColor="text1"/>
                <w:sz w:val="18"/>
                <w:szCs w:val="18"/>
              </w:rPr>
            </w:pPr>
            <w:r w:rsidRPr="00D10047">
              <w:rPr>
                <w:rFonts w:cs="Arial"/>
                <w:b/>
                <w:bCs/>
                <w:color w:val="000000" w:themeColor="text1"/>
                <w:sz w:val="18"/>
                <w:szCs w:val="18"/>
              </w:rPr>
              <w:t>2018/19</w:t>
            </w:r>
          </w:p>
        </w:tc>
        <w:tc>
          <w:tcPr>
            <w:tcW w:w="1137" w:type="dxa"/>
            <w:shd w:val="clear" w:color="000000" w:fill="D9D9D9"/>
            <w:vAlign w:val="center"/>
          </w:tcPr>
          <w:p w14:paraId="723C1B7E" w14:textId="77777777" w:rsidR="0091013D" w:rsidRPr="00D10047" w:rsidRDefault="0091013D" w:rsidP="0091013D">
            <w:pPr>
              <w:jc w:val="center"/>
              <w:rPr>
                <w:rFonts w:cs="Arial"/>
                <w:b/>
                <w:bCs/>
                <w:color w:val="000000" w:themeColor="text1"/>
                <w:sz w:val="18"/>
                <w:szCs w:val="18"/>
              </w:rPr>
            </w:pPr>
            <w:r w:rsidRPr="00D10047">
              <w:rPr>
                <w:rFonts w:cs="Arial"/>
                <w:b/>
                <w:bCs/>
                <w:color w:val="000000" w:themeColor="text1"/>
                <w:sz w:val="18"/>
                <w:szCs w:val="18"/>
              </w:rPr>
              <w:t>England Average</w:t>
            </w:r>
          </w:p>
        </w:tc>
      </w:tr>
      <w:tr w:rsidR="0091013D" w:rsidRPr="004F43A4" w14:paraId="7ADDB03D" w14:textId="77777777" w:rsidTr="00CE2949">
        <w:trPr>
          <w:trHeight w:val="104"/>
        </w:trPr>
        <w:tc>
          <w:tcPr>
            <w:tcW w:w="9776" w:type="dxa"/>
            <w:gridSpan w:val="8"/>
            <w:shd w:val="clear" w:color="000000" w:fill="D9D9D9"/>
          </w:tcPr>
          <w:p w14:paraId="67CE92AC" w14:textId="77777777" w:rsidR="0091013D" w:rsidRPr="004F43A4" w:rsidRDefault="0091013D" w:rsidP="0091013D">
            <w:pPr>
              <w:rPr>
                <w:rFonts w:cs="Arial"/>
                <w:b/>
                <w:bCs/>
                <w:sz w:val="18"/>
                <w:szCs w:val="18"/>
              </w:rPr>
            </w:pPr>
            <w:r w:rsidRPr="004F43A4">
              <w:rPr>
                <w:rFonts w:cs="Arial"/>
                <w:b/>
                <w:bCs/>
                <w:sz w:val="18"/>
                <w:szCs w:val="18"/>
              </w:rPr>
              <w:t>Adoptions</w:t>
            </w:r>
          </w:p>
        </w:tc>
      </w:tr>
      <w:tr w:rsidR="0091013D" w:rsidRPr="004F43A4" w14:paraId="51B84D50" w14:textId="77777777" w:rsidTr="00CE2949">
        <w:trPr>
          <w:trHeight w:val="278"/>
        </w:trPr>
        <w:tc>
          <w:tcPr>
            <w:tcW w:w="3071" w:type="dxa"/>
            <w:shd w:val="clear" w:color="auto" w:fill="auto"/>
            <w:hideMark/>
          </w:tcPr>
          <w:p w14:paraId="25BF199C" w14:textId="77777777" w:rsidR="0091013D" w:rsidRPr="004F43A4" w:rsidRDefault="0091013D" w:rsidP="0091013D">
            <w:pPr>
              <w:rPr>
                <w:rFonts w:cs="Arial"/>
                <w:sz w:val="18"/>
                <w:szCs w:val="18"/>
              </w:rPr>
            </w:pPr>
            <w:r w:rsidRPr="004F43A4">
              <w:rPr>
                <w:rFonts w:cs="Arial"/>
                <w:sz w:val="18"/>
                <w:szCs w:val="18"/>
              </w:rPr>
              <w:t>Average time between a child entering care and moving in with their adoptive family, for children who have been adopted (days)</w:t>
            </w:r>
          </w:p>
        </w:tc>
        <w:tc>
          <w:tcPr>
            <w:tcW w:w="936" w:type="dxa"/>
            <w:shd w:val="clear" w:color="auto" w:fill="auto"/>
            <w:vAlign w:val="center"/>
            <w:hideMark/>
          </w:tcPr>
          <w:p w14:paraId="2F463C7B" w14:textId="77777777" w:rsidR="0091013D" w:rsidRPr="004F43A4" w:rsidRDefault="0091013D" w:rsidP="00FE2C99">
            <w:pPr>
              <w:jc w:val="center"/>
              <w:rPr>
                <w:rFonts w:cs="Arial"/>
                <w:sz w:val="18"/>
                <w:szCs w:val="18"/>
              </w:rPr>
            </w:pPr>
            <w:r w:rsidRPr="004F43A4">
              <w:rPr>
                <w:rFonts w:cs="Arial"/>
                <w:sz w:val="18"/>
                <w:szCs w:val="18"/>
              </w:rPr>
              <w:t>L</w:t>
            </w:r>
          </w:p>
        </w:tc>
        <w:tc>
          <w:tcPr>
            <w:tcW w:w="912" w:type="dxa"/>
            <w:shd w:val="clear" w:color="000000" w:fill="FFFFFF"/>
            <w:noWrap/>
            <w:vAlign w:val="center"/>
            <w:hideMark/>
          </w:tcPr>
          <w:p w14:paraId="348B071D" w14:textId="77777777" w:rsidR="0091013D" w:rsidRPr="004F43A4" w:rsidRDefault="0091013D" w:rsidP="00FE2C99">
            <w:pPr>
              <w:jc w:val="center"/>
              <w:rPr>
                <w:rFonts w:cs="Arial"/>
                <w:sz w:val="18"/>
                <w:szCs w:val="18"/>
              </w:rPr>
            </w:pPr>
            <w:r w:rsidRPr="004F43A4">
              <w:rPr>
                <w:rFonts w:cs="Arial"/>
                <w:sz w:val="18"/>
                <w:szCs w:val="18"/>
              </w:rPr>
              <w:t>489</w:t>
            </w:r>
          </w:p>
        </w:tc>
        <w:tc>
          <w:tcPr>
            <w:tcW w:w="912" w:type="dxa"/>
            <w:vAlign w:val="center"/>
          </w:tcPr>
          <w:p w14:paraId="549CA180" w14:textId="77777777" w:rsidR="0091013D" w:rsidRPr="004F43A4" w:rsidRDefault="0091013D" w:rsidP="00FE2C99">
            <w:pPr>
              <w:jc w:val="center"/>
              <w:rPr>
                <w:sz w:val="18"/>
                <w:szCs w:val="18"/>
              </w:rPr>
            </w:pPr>
            <w:r w:rsidRPr="004F43A4">
              <w:rPr>
                <w:sz w:val="18"/>
                <w:szCs w:val="18"/>
              </w:rPr>
              <w:t>426</w:t>
            </w:r>
          </w:p>
        </w:tc>
        <w:tc>
          <w:tcPr>
            <w:tcW w:w="936" w:type="dxa"/>
            <w:shd w:val="clear" w:color="auto" w:fill="auto"/>
            <w:vAlign w:val="center"/>
          </w:tcPr>
          <w:p w14:paraId="17EC8DA9" w14:textId="77777777" w:rsidR="0091013D" w:rsidRPr="004F43A4" w:rsidRDefault="0091013D" w:rsidP="00FE2C99">
            <w:pPr>
              <w:jc w:val="center"/>
              <w:rPr>
                <w:sz w:val="18"/>
                <w:szCs w:val="18"/>
              </w:rPr>
            </w:pPr>
            <w:r>
              <w:rPr>
                <w:sz w:val="18"/>
                <w:szCs w:val="18"/>
              </w:rPr>
              <w:t>386</w:t>
            </w:r>
          </w:p>
        </w:tc>
        <w:tc>
          <w:tcPr>
            <w:tcW w:w="936" w:type="dxa"/>
            <w:shd w:val="clear" w:color="auto" w:fill="FFFFFF" w:themeFill="background1"/>
            <w:vAlign w:val="center"/>
          </w:tcPr>
          <w:p w14:paraId="69033DEC" w14:textId="77777777" w:rsidR="0091013D" w:rsidRPr="003E1EB9" w:rsidRDefault="0091013D" w:rsidP="00FE2C99">
            <w:pPr>
              <w:jc w:val="center"/>
              <w:rPr>
                <w:color w:val="000000" w:themeColor="text1"/>
                <w:sz w:val="18"/>
                <w:szCs w:val="18"/>
              </w:rPr>
            </w:pPr>
            <w:r>
              <w:rPr>
                <w:color w:val="000000" w:themeColor="text1"/>
                <w:sz w:val="18"/>
                <w:szCs w:val="18"/>
              </w:rPr>
              <w:t>557</w:t>
            </w:r>
          </w:p>
        </w:tc>
        <w:tc>
          <w:tcPr>
            <w:tcW w:w="936" w:type="dxa"/>
            <w:shd w:val="clear" w:color="auto" w:fill="C5E0B3" w:themeFill="accent6" w:themeFillTint="66"/>
            <w:vAlign w:val="center"/>
          </w:tcPr>
          <w:p w14:paraId="3C6B630C" w14:textId="77777777" w:rsidR="0091013D" w:rsidRPr="003E1EB9" w:rsidRDefault="0091013D" w:rsidP="00FE2C99">
            <w:pPr>
              <w:jc w:val="center"/>
              <w:rPr>
                <w:color w:val="000000" w:themeColor="text1"/>
                <w:sz w:val="18"/>
                <w:szCs w:val="18"/>
              </w:rPr>
            </w:pPr>
            <w:r>
              <w:rPr>
                <w:color w:val="000000" w:themeColor="text1"/>
                <w:sz w:val="18"/>
                <w:szCs w:val="18"/>
              </w:rPr>
              <w:t>372</w:t>
            </w:r>
          </w:p>
        </w:tc>
        <w:tc>
          <w:tcPr>
            <w:tcW w:w="1137" w:type="dxa"/>
            <w:vAlign w:val="center"/>
          </w:tcPr>
          <w:p w14:paraId="7EC394CE" w14:textId="77777777" w:rsidR="0091013D" w:rsidRPr="00D10047" w:rsidRDefault="0091013D" w:rsidP="00FE2C99">
            <w:pPr>
              <w:jc w:val="center"/>
              <w:rPr>
                <w:color w:val="000000" w:themeColor="text1"/>
                <w:sz w:val="18"/>
                <w:szCs w:val="18"/>
              </w:rPr>
            </w:pPr>
            <w:r w:rsidRPr="00D10047">
              <w:rPr>
                <w:color w:val="000000" w:themeColor="text1"/>
                <w:sz w:val="18"/>
                <w:szCs w:val="18"/>
              </w:rPr>
              <w:t>520</w:t>
            </w:r>
          </w:p>
          <w:p w14:paraId="30308DAF" w14:textId="77777777" w:rsidR="0091013D" w:rsidRPr="00D10047" w:rsidRDefault="0091013D" w:rsidP="00FE2C99">
            <w:pPr>
              <w:jc w:val="center"/>
              <w:rPr>
                <w:rFonts w:cs="Arial"/>
                <w:color w:val="000000" w:themeColor="text1"/>
                <w:sz w:val="18"/>
                <w:szCs w:val="18"/>
              </w:rPr>
            </w:pPr>
            <w:r w:rsidRPr="00D10047">
              <w:rPr>
                <w:color w:val="000000" w:themeColor="text1"/>
                <w:sz w:val="18"/>
                <w:szCs w:val="18"/>
              </w:rPr>
              <w:t>(2014-17)</w:t>
            </w:r>
          </w:p>
        </w:tc>
      </w:tr>
      <w:tr w:rsidR="0091013D" w:rsidRPr="004F43A4" w14:paraId="46579351" w14:textId="77777777" w:rsidTr="00CE2949">
        <w:trPr>
          <w:trHeight w:val="258"/>
        </w:trPr>
        <w:tc>
          <w:tcPr>
            <w:tcW w:w="3071" w:type="dxa"/>
            <w:shd w:val="clear" w:color="auto" w:fill="auto"/>
            <w:hideMark/>
          </w:tcPr>
          <w:p w14:paraId="267ACEA1" w14:textId="77777777" w:rsidR="0091013D" w:rsidRPr="004F43A4" w:rsidRDefault="0091013D" w:rsidP="0091013D">
            <w:pPr>
              <w:rPr>
                <w:rFonts w:cs="Arial"/>
                <w:sz w:val="18"/>
                <w:szCs w:val="18"/>
              </w:rPr>
            </w:pPr>
            <w:r w:rsidRPr="004F43A4">
              <w:rPr>
                <w:rFonts w:cs="Arial"/>
                <w:sz w:val="18"/>
                <w:szCs w:val="18"/>
              </w:rPr>
              <w:t>Days between a local authority receiving court authority to place a child and the local authority deciding  on a match to an adoptive family (days)</w:t>
            </w:r>
          </w:p>
        </w:tc>
        <w:tc>
          <w:tcPr>
            <w:tcW w:w="936" w:type="dxa"/>
            <w:shd w:val="clear" w:color="auto" w:fill="auto"/>
            <w:vAlign w:val="center"/>
            <w:hideMark/>
          </w:tcPr>
          <w:p w14:paraId="5055C4CA" w14:textId="77777777" w:rsidR="0091013D" w:rsidRPr="00D10047" w:rsidRDefault="0091013D" w:rsidP="00FE2C99">
            <w:pPr>
              <w:jc w:val="center"/>
              <w:rPr>
                <w:sz w:val="18"/>
                <w:szCs w:val="18"/>
              </w:rPr>
            </w:pPr>
            <w:r w:rsidRPr="00D10047">
              <w:rPr>
                <w:sz w:val="18"/>
                <w:szCs w:val="18"/>
              </w:rPr>
              <w:t>L</w:t>
            </w:r>
          </w:p>
        </w:tc>
        <w:tc>
          <w:tcPr>
            <w:tcW w:w="912" w:type="dxa"/>
            <w:shd w:val="clear" w:color="000000" w:fill="FFFFFF"/>
            <w:noWrap/>
            <w:vAlign w:val="center"/>
            <w:hideMark/>
          </w:tcPr>
          <w:p w14:paraId="056B4C1C" w14:textId="77777777" w:rsidR="0091013D" w:rsidRPr="00D10047" w:rsidRDefault="0091013D" w:rsidP="00FE2C99">
            <w:pPr>
              <w:jc w:val="center"/>
              <w:rPr>
                <w:sz w:val="18"/>
                <w:szCs w:val="18"/>
              </w:rPr>
            </w:pPr>
            <w:r w:rsidRPr="00D10047">
              <w:rPr>
                <w:sz w:val="18"/>
                <w:szCs w:val="18"/>
              </w:rPr>
              <w:t>236</w:t>
            </w:r>
          </w:p>
        </w:tc>
        <w:tc>
          <w:tcPr>
            <w:tcW w:w="912" w:type="dxa"/>
            <w:vAlign w:val="center"/>
          </w:tcPr>
          <w:p w14:paraId="00536FAB" w14:textId="77777777" w:rsidR="0091013D" w:rsidRPr="004F43A4" w:rsidRDefault="0091013D" w:rsidP="00FE2C99">
            <w:pPr>
              <w:jc w:val="center"/>
              <w:rPr>
                <w:sz w:val="18"/>
                <w:szCs w:val="18"/>
              </w:rPr>
            </w:pPr>
            <w:r w:rsidRPr="004F43A4">
              <w:rPr>
                <w:sz w:val="18"/>
                <w:szCs w:val="18"/>
              </w:rPr>
              <w:t>156</w:t>
            </w:r>
          </w:p>
        </w:tc>
        <w:tc>
          <w:tcPr>
            <w:tcW w:w="936" w:type="dxa"/>
            <w:shd w:val="clear" w:color="auto" w:fill="auto"/>
            <w:vAlign w:val="center"/>
          </w:tcPr>
          <w:p w14:paraId="1BEFAE04" w14:textId="77777777" w:rsidR="0091013D" w:rsidRPr="004F43A4" w:rsidRDefault="0091013D" w:rsidP="00FE2C99">
            <w:pPr>
              <w:jc w:val="center"/>
              <w:rPr>
                <w:sz w:val="18"/>
                <w:szCs w:val="18"/>
              </w:rPr>
            </w:pPr>
            <w:r>
              <w:rPr>
                <w:sz w:val="18"/>
                <w:szCs w:val="18"/>
              </w:rPr>
              <w:t>148</w:t>
            </w:r>
          </w:p>
        </w:tc>
        <w:tc>
          <w:tcPr>
            <w:tcW w:w="936" w:type="dxa"/>
            <w:shd w:val="clear" w:color="auto" w:fill="FFFFFF" w:themeFill="background1"/>
            <w:vAlign w:val="center"/>
          </w:tcPr>
          <w:p w14:paraId="54F3A073" w14:textId="77777777" w:rsidR="0091013D" w:rsidRPr="003E1EB9" w:rsidRDefault="0091013D" w:rsidP="00FE2C99">
            <w:pPr>
              <w:jc w:val="center"/>
              <w:rPr>
                <w:color w:val="000000" w:themeColor="text1"/>
                <w:sz w:val="18"/>
                <w:szCs w:val="18"/>
              </w:rPr>
            </w:pPr>
            <w:r>
              <w:rPr>
                <w:color w:val="000000" w:themeColor="text1"/>
                <w:sz w:val="18"/>
                <w:szCs w:val="18"/>
              </w:rPr>
              <w:t>218</w:t>
            </w:r>
          </w:p>
        </w:tc>
        <w:tc>
          <w:tcPr>
            <w:tcW w:w="936" w:type="dxa"/>
            <w:shd w:val="clear" w:color="auto" w:fill="C5E0B3" w:themeFill="accent6" w:themeFillTint="66"/>
            <w:vAlign w:val="center"/>
          </w:tcPr>
          <w:p w14:paraId="215F5191" w14:textId="77777777" w:rsidR="0091013D" w:rsidRPr="003E1EB9" w:rsidRDefault="0091013D" w:rsidP="00FE2C99">
            <w:pPr>
              <w:jc w:val="center"/>
              <w:rPr>
                <w:color w:val="000000" w:themeColor="text1"/>
                <w:sz w:val="18"/>
                <w:szCs w:val="18"/>
              </w:rPr>
            </w:pPr>
            <w:r>
              <w:rPr>
                <w:color w:val="000000" w:themeColor="text1"/>
                <w:sz w:val="18"/>
                <w:szCs w:val="18"/>
              </w:rPr>
              <w:t>136</w:t>
            </w:r>
          </w:p>
        </w:tc>
        <w:tc>
          <w:tcPr>
            <w:tcW w:w="1137" w:type="dxa"/>
            <w:vAlign w:val="center"/>
          </w:tcPr>
          <w:p w14:paraId="60C8EFD4" w14:textId="77777777" w:rsidR="0091013D" w:rsidRPr="00D10047" w:rsidRDefault="0091013D" w:rsidP="00FE2C99">
            <w:pPr>
              <w:jc w:val="center"/>
              <w:rPr>
                <w:color w:val="000000" w:themeColor="text1"/>
                <w:sz w:val="18"/>
                <w:szCs w:val="18"/>
              </w:rPr>
            </w:pPr>
            <w:r w:rsidRPr="00D10047">
              <w:rPr>
                <w:color w:val="000000" w:themeColor="text1"/>
                <w:sz w:val="18"/>
                <w:szCs w:val="18"/>
              </w:rPr>
              <w:t>220</w:t>
            </w:r>
          </w:p>
          <w:p w14:paraId="17A59526" w14:textId="77777777" w:rsidR="0091013D" w:rsidRPr="00D10047" w:rsidRDefault="0091013D" w:rsidP="00FE2C99">
            <w:pPr>
              <w:jc w:val="center"/>
              <w:rPr>
                <w:rFonts w:cs="Arial"/>
                <w:color w:val="000000" w:themeColor="text1"/>
                <w:sz w:val="18"/>
                <w:szCs w:val="18"/>
              </w:rPr>
            </w:pPr>
            <w:r w:rsidRPr="00D10047">
              <w:rPr>
                <w:color w:val="000000" w:themeColor="text1"/>
                <w:sz w:val="18"/>
                <w:szCs w:val="18"/>
              </w:rPr>
              <w:t>(2014-17)</w:t>
            </w:r>
          </w:p>
        </w:tc>
      </w:tr>
    </w:tbl>
    <w:p w14:paraId="28BB7354" w14:textId="77777777" w:rsidR="0091013D" w:rsidRPr="00E77EBA" w:rsidRDefault="0091013D" w:rsidP="0091013D">
      <w:pPr>
        <w:pStyle w:val="NoSpacing"/>
        <w:jc w:val="both"/>
        <w:rPr>
          <w:rFonts w:ascii="Arial" w:eastAsiaTheme="minorHAnsi" w:hAnsi="Arial" w:cs="Arial"/>
          <w:i/>
          <w:color w:val="0070C0"/>
          <w:lang w:eastAsia="en-US"/>
        </w:rPr>
      </w:pPr>
    </w:p>
    <w:p w14:paraId="3A441C62" w14:textId="77777777" w:rsidR="0091013D" w:rsidRPr="003E1EB9" w:rsidRDefault="0091013D" w:rsidP="0091013D">
      <w:pPr>
        <w:pStyle w:val="NoSpacing"/>
        <w:rPr>
          <w:rFonts w:ascii="Arial" w:eastAsiaTheme="minorHAnsi" w:hAnsi="Arial" w:cs="Arial"/>
          <w:i/>
          <w:color w:val="000000" w:themeColor="text1"/>
          <w:sz w:val="24"/>
          <w:szCs w:val="24"/>
          <w:lang w:eastAsia="en-US"/>
        </w:rPr>
      </w:pPr>
      <w:r w:rsidRPr="003E1EB9">
        <w:rPr>
          <w:rFonts w:ascii="Arial" w:eastAsiaTheme="minorHAnsi" w:hAnsi="Arial" w:cs="Arial"/>
          <w:i/>
          <w:color w:val="000000" w:themeColor="text1"/>
          <w:sz w:val="24"/>
          <w:szCs w:val="24"/>
          <w:lang w:eastAsia="en-US"/>
        </w:rPr>
        <w:t>Adoptions</w:t>
      </w:r>
    </w:p>
    <w:p w14:paraId="62019E49" w14:textId="70C1B14C" w:rsidR="0091013D" w:rsidRPr="00D10047" w:rsidRDefault="0091013D" w:rsidP="0091013D">
      <w:pPr>
        <w:pStyle w:val="NoSpacing"/>
        <w:jc w:val="both"/>
        <w:rPr>
          <w:rFonts w:ascii="Arial" w:eastAsiaTheme="minorHAnsi" w:hAnsi="Arial" w:cs="Arial"/>
          <w:color w:val="000000" w:themeColor="text1"/>
          <w:sz w:val="24"/>
          <w:szCs w:val="24"/>
          <w:lang w:eastAsia="en-US"/>
        </w:rPr>
      </w:pPr>
      <w:r w:rsidRPr="00D10047">
        <w:rPr>
          <w:rFonts w:ascii="Arial" w:eastAsiaTheme="minorHAnsi" w:hAnsi="Arial" w:cs="Arial"/>
          <w:color w:val="000000" w:themeColor="text1"/>
          <w:sz w:val="24"/>
          <w:szCs w:val="24"/>
          <w:lang w:eastAsia="en-US"/>
        </w:rPr>
        <w:t>Quarter three recorded a significant reduction in the average time between a child entering care and moving in with their adoptive family</w:t>
      </w:r>
      <w:r w:rsidR="00B56AF1">
        <w:rPr>
          <w:rFonts w:ascii="Arial" w:eastAsiaTheme="minorHAnsi" w:hAnsi="Arial" w:cs="Arial"/>
          <w:color w:val="000000" w:themeColor="text1"/>
          <w:sz w:val="24"/>
          <w:szCs w:val="24"/>
          <w:lang w:eastAsia="en-US"/>
        </w:rPr>
        <w:t>.</w:t>
      </w:r>
      <w:r w:rsidRPr="00D10047">
        <w:rPr>
          <w:rFonts w:ascii="Arial" w:eastAsiaTheme="minorHAnsi" w:hAnsi="Arial" w:cs="Arial"/>
          <w:color w:val="000000" w:themeColor="text1"/>
          <w:sz w:val="24"/>
          <w:szCs w:val="24"/>
          <w:lang w:eastAsia="en-US"/>
        </w:rPr>
        <w:t xml:space="preserve"> </w:t>
      </w:r>
      <w:r w:rsidR="00B56AF1">
        <w:rPr>
          <w:rFonts w:ascii="Arial" w:eastAsiaTheme="minorHAnsi" w:hAnsi="Arial" w:cs="Arial"/>
          <w:color w:val="000000" w:themeColor="text1"/>
          <w:sz w:val="24"/>
          <w:szCs w:val="24"/>
          <w:lang w:eastAsia="en-US"/>
        </w:rPr>
        <w:t>T</w:t>
      </w:r>
      <w:r w:rsidRPr="00D10047">
        <w:rPr>
          <w:rFonts w:ascii="Arial" w:eastAsiaTheme="minorHAnsi" w:hAnsi="Arial" w:cs="Arial"/>
          <w:color w:val="000000" w:themeColor="text1"/>
          <w:sz w:val="24"/>
          <w:szCs w:val="24"/>
          <w:lang w:eastAsia="en-US"/>
        </w:rPr>
        <w:t xml:space="preserve">he </w:t>
      </w:r>
      <w:r>
        <w:rPr>
          <w:rFonts w:ascii="Arial" w:eastAsiaTheme="minorHAnsi" w:hAnsi="Arial" w:cs="Arial"/>
          <w:color w:val="000000" w:themeColor="text1"/>
          <w:sz w:val="24"/>
          <w:szCs w:val="24"/>
          <w:lang w:eastAsia="en-US"/>
        </w:rPr>
        <w:t>current</w:t>
      </w:r>
      <w:r w:rsidRPr="00D10047">
        <w:rPr>
          <w:rFonts w:ascii="Arial" w:eastAsiaTheme="minorHAnsi" w:hAnsi="Arial" w:cs="Arial"/>
          <w:color w:val="000000" w:themeColor="text1"/>
          <w:sz w:val="24"/>
          <w:szCs w:val="24"/>
          <w:lang w:eastAsia="en-US"/>
        </w:rPr>
        <w:t xml:space="preserve"> rolling year figure </w:t>
      </w:r>
      <w:r w:rsidR="00FE2C99">
        <w:rPr>
          <w:rFonts w:ascii="Arial" w:eastAsiaTheme="minorHAnsi" w:hAnsi="Arial" w:cs="Arial"/>
          <w:color w:val="000000" w:themeColor="text1"/>
          <w:sz w:val="24"/>
          <w:szCs w:val="24"/>
          <w:lang w:eastAsia="en-US"/>
        </w:rPr>
        <w:t xml:space="preserve">for January to December 2018 </w:t>
      </w:r>
      <w:r w:rsidRPr="00D10047">
        <w:rPr>
          <w:rFonts w:ascii="Arial" w:eastAsiaTheme="minorHAnsi" w:hAnsi="Arial" w:cs="Arial"/>
          <w:color w:val="000000" w:themeColor="text1"/>
          <w:sz w:val="24"/>
          <w:szCs w:val="24"/>
          <w:lang w:eastAsia="en-US"/>
        </w:rPr>
        <w:t xml:space="preserve">is 430 days </w:t>
      </w:r>
      <w:r w:rsidR="00B56AF1">
        <w:rPr>
          <w:rFonts w:ascii="Arial" w:eastAsiaTheme="minorHAnsi" w:hAnsi="Arial" w:cs="Arial"/>
          <w:color w:val="000000" w:themeColor="text1"/>
          <w:sz w:val="24"/>
          <w:szCs w:val="24"/>
          <w:lang w:eastAsia="en-US"/>
        </w:rPr>
        <w:t>which is</w:t>
      </w:r>
      <w:r w:rsidR="006057BC">
        <w:rPr>
          <w:rFonts w:ascii="Arial" w:eastAsiaTheme="minorHAnsi" w:hAnsi="Arial" w:cs="Arial"/>
          <w:color w:val="000000" w:themeColor="text1"/>
          <w:sz w:val="24"/>
          <w:szCs w:val="24"/>
          <w:lang w:eastAsia="en-US"/>
        </w:rPr>
        <w:t xml:space="preserve"> </w:t>
      </w:r>
      <w:r w:rsidR="00B56AF1">
        <w:rPr>
          <w:rFonts w:ascii="Arial" w:eastAsiaTheme="minorHAnsi" w:hAnsi="Arial" w:cs="Arial"/>
          <w:color w:val="000000" w:themeColor="text1"/>
          <w:sz w:val="24"/>
          <w:szCs w:val="24"/>
          <w:lang w:eastAsia="en-US"/>
        </w:rPr>
        <w:t xml:space="preserve">better than the </w:t>
      </w:r>
      <w:r w:rsidRPr="00D10047">
        <w:rPr>
          <w:rFonts w:ascii="Arial" w:eastAsiaTheme="minorHAnsi" w:hAnsi="Arial" w:cs="Arial"/>
          <w:color w:val="000000" w:themeColor="text1"/>
          <w:sz w:val="24"/>
          <w:szCs w:val="24"/>
          <w:lang w:eastAsia="en-US"/>
        </w:rPr>
        <w:t xml:space="preserve">latest national </w:t>
      </w:r>
      <w:r w:rsidR="00902461">
        <w:rPr>
          <w:rFonts w:ascii="Arial" w:eastAsiaTheme="minorHAnsi" w:hAnsi="Arial" w:cs="Arial"/>
          <w:color w:val="000000" w:themeColor="text1"/>
          <w:sz w:val="24"/>
          <w:szCs w:val="24"/>
          <w:lang w:eastAsia="en-US"/>
        </w:rPr>
        <w:t>average figure (520</w:t>
      </w:r>
      <w:r w:rsidRPr="00D10047">
        <w:rPr>
          <w:rFonts w:ascii="Arial" w:eastAsiaTheme="minorHAnsi" w:hAnsi="Arial" w:cs="Arial"/>
          <w:color w:val="000000" w:themeColor="text1"/>
          <w:sz w:val="24"/>
          <w:szCs w:val="24"/>
          <w:lang w:eastAsia="en-US"/>
        </w:rPr>
        <w:t xml:space="preserve"> days). 20 children gained adoption orders during quarter three.</w:t>
      </w:r>
    </w:p>
    <w:p w14:paraId="732249AE" w14:textId="77777777" w:rsidR="0091013D" w:rsidRPr="00E77EBA" w:rsidRDefault="0091013D" w:rsidP="0091013D">
      <w:pPr>
        <w:pStyle w:val="NoSpacing"/>
        <w:rPr>
          <w:rFonts w:ascii="Arial" w:eastAsiaTheme="minorHAnsi" w:hAnsi="Arial" w:cs="Arial"/>
          <w:i/>
          <w:color w:val="0070C0"/>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09"/>
        <w:gridCol w:w="1726"/>
        <w:gridCol w:w="1701"/>
        <w:gridCol w:w="1701"/>
      </w:tblGrid>
      <w:tr w:rsidR="0091013D" w:rsidRPr="00E77EBA" w14:paraId="37CAB89F" w14:textId="77777777" w:rsidTr="00CE2949">
        <w:trPr>
          <w:trHeight w:val="60"/>
        </w:trPr>
        <w:tc>
          <w:tcPr>
            <w:tcW w:w="3539" w:type="dxa"/>
            <w:shd w:val="clear" w:color="000000" w:fill="D9D9D9"/>
            <w:vAlign w:val="center"/>
            <w:hideMark/>
          </w:tcPr>
          <w:p w14:paraId="05719F63" w14:textId="77777777" w:rsidR="0091013D" w:rsidRPr="00D245C3" w:rsidRDefault="0091013D" w:rsidP="0091013D">
            <w:pPr>
              <w:rPr>
                <w:rFonts w:cs="Arial"/>
                <w:b/>
                <w:bCs/>
                <w:sz w:val="18"/>
                <w:szCs w:val="18"/>
              </w:rPr>
            </w:pPr>
            <w:r w:rsidRPr="00D245C3">
              <w:rPr>
                <w:rFonts w:cs="Arial"/>
                <w:b/>
                <w:bCs/>
                <w:sz w:val="18"/>
                <w:szCs w:val="18"/>
              </w:rPr>
              <w:t>Performance Measure</w:t>
            </w:r>
          </w:p>
        </w:tc>
        <w:tc>
          <w:tcPr>
            <w:tcW w:w="1109" w:type="dxa"/>
            <w:shd w:val="clear" w:color="000000" w:fill="D9D9D9"/>
            <w:vAlign w:val="center"/>
            <w:hideMark/>
          </w:tcPr>
          <w:p w14:paraId="72FC4026" w14:textId="77777777" w:rsidR="0091013D" w:rsidRPr="00D245C3" w:rsidRDefault="0091013D" w:rsidP="0091013D">
            <w:pPr>
              <w:jc w:val="center"/>
              <w:rPr>
                <w:rFonts w:cs="Arial"/>
                <w:b/>
                <w:bCs/>
                <w:sz w:val="18"/>
                <w:szCs w:val="18"/>
              </w:rPr>
            </w:pPr>
            <w:r w:rsidRPr="00D245C3">
              <w:rPr>
                <w:rFonts w:cs="Arial"/>
                <w:b/>
                <w:bCs/>
                <w:sz w:val="18"/>
                <w:szCs w:val="18"/>
              </w:rPr>
              <w:t>Good is High or Low</w:t>
            </w:r>
          </w:p>
        </w:tc>
        <w:tc>
          <w:tcPr>
            <w:tcW w:w="1726" w:type="dxa"/>
            <w:shd w:val="clear" w:color="000000" w:fill="D9D9D9"/>
            <w:noWrap/>
            <w:vAlign w:val="center"/>
            <w:hideMark/>
          </w:tcPr>
          <w:p w14:paraId="5235F1EE" w14:textId="77777777" w:rsidR="0091013D" w:rsidRPr="005808B6" w:rsidRDefault="0091013D" w:rsidP="0091013D">
            <w:pPr>
              <w:jc w:val="center"/>
              <w:rPr>
                <w:rFonts w:cs="Arial"/>
                <w:b/>
                <w:bCs/>
                <w:color w:val="000000" w:themeColor="text1"/>
                <w:sz w:val="18"/>
                <w:szCs w:val="18"/>
              </w:rPr>
            </w:pPr>
            <w:r w:rsidRPr="005808B6">
              <w:rPr>
                <w:rFonts w:cs="Arial"/>
                <w:b/>
                <w:bCs/>
                <w:color w:val="000000" w:themeColor="text1"/>
                <w:sz w:val="18"/>
                <w:szCs w:val="18"/>
              </w:rPr>
              <w:t>Previous</w:t>
            </w:r>
          </w:p>
          <w:p w14:paraId="7A8F28AD" w14:textId="77777777" w:rsidR="0091013D" w:rsidRPr="005808B6" w:rsidRDefault="0091013D" w:rsidP="0091013D">
            <w:pPr>
              <w:jc w:val="center"/>
              <w:rPr>
                <w:rFonts w:cs="Arial"/>
                <w:b/>
                <w:bCs/>
                <w:color w:val="000000" w:themeColor="text1"/>
                <w:sz w:val="18"/>
                <w:szCs w:val="18"/>
              </w:rPr>
            </w:pPr>
            <w:r w:rsidRPr="005808B6">
              <w:rPr>
                <w:rFonts w:cs="Arial"/>
                <w:b/>
                <w:bCs/>
                <w:color w:val="000000" w:themeColor="text1"/>
                <w:sz w:val="18"/>
                <w:szCs w:val="18"/>
              </w:rPr>
              <w:t>Period</w:t>
            </w:r>
          </w:p>
        </w:tc>
        <w:tc>
          <w:tcPr>
            <w:tcW w:w="1701" w:type="dxa"/>
            <w:shd w:val="clear" w:color="000000" w:fill="D9D9D9"/>
            <w:vAlign w:val="center"/>
          </w:tcPr>
          <w:p w14:paraId="6118604B" w14:textId="77777777" w:rsidR="0091013D" w:rsidRPr="005808B6" w:rsidRDefault="0091013D" w:rsidP="0091013D">
            <w:pPr>
              <w:jc w:val="center"/>
              <w:rPr>
                <w:rFonts w:cs="Arial"/>
                <w:b/>
                <w:bCs/>
                <w:color w:val="000000" w:themeColor="text1"/>
                <w:sz w:val="18"/>
                <w:szCs w:val="18"/>
              </w:rPr>
            </w:pPr>
            <w:r w:rsidRPr="005808B6">
              <w:rPr>
                <w:rFonts w:cs="Arial"/>
                <w:b/>
                <w:bCs/>
                <w:color w:val="000000" w:themeColor="text1"/>
                <w:sz w:val="18"/>
                <w:szCs w:val="18"/>
              </w:rPr>
              <w:t>Latest Available</w:t>
            </w:r>
          </w:p>
        </w:tc>
        <w:tc>
          <w:tcPr>
            <w:tcW w:w="1701" w:type="dxa"/>
            <w:shd w:val="clear" w:color="000000" w:fill="D9D9D9"/>
            <w:vAlign w:val="center"/>
          </w:tcPr>
          <w:p w14:paraId="7F33095D" w14:textId="77777777" w:rsidR="0091013D" w:rsidRPr="00B7052D" w:rsidRDefault="0091013D" w:rsidP="0091013D">
            <w:pPr>
              <w:jc w:val="center"/>
              <w:rPr>
                <w:rFonts w:cs="Arial"/>
                <w:b/>
                <w:bCs/>
                <w:color w:val="000000" w:themeColor="text1"/>
                <w:sz w:val="18"/>
                <w:szCs w:val="18"/>
              </w:rPr>
            </w:pPr>
            <w:r w:rsidRPr="00B7052D">
              <w:rPr>
                <w:rFonts w:cs="Arial"/>
                <w:b/>
                <w:bCs/>
                <w:color w:val="000000" w:themeColor="text1"/>
                <w:sz w:val="18"/>
                <w:szCs w:val="18"/>
              </w:rPr>
              <w:t>England</w:t>
            </w:r>
          </w:p>
          <w:p w14:paraId="63FB391B" w14:textId="77777777" w:rsidR="0091013D" w:rsidRPr="005612B3" w:rsidRDefault="0091013D" w:rsidP="0091013D">
            <w:pPr>
              <w:jc w:val="center"/>
              <w:rPr>
                <w:rFonts w:cs="Arial"/>
                <w:b/>
                <w:bCs/>
                <w:color w:val="FF0000"/>
                <w:sz w:val="18"/>
                <w:szCs w:val="18"/>
              </w:rPr>
            </w:pPr>
            <w:r w:rsidRPr="00B7052D">
              <w:rPr>
                <w:rFonts w:cs="Arial"/>
                <w:b/>
                <w:bCs/>
                <w:color w:val="000000" w:themeColor="text1"/>
                <w:sz w:val="18"/>
                <w:szCs w:val="18"/>
              </w:rPr>
              <w:t>Average</w:t>
            </w:r>
          </w:p>
        </w:tc>
      </w:tr>
      <w:tr w:rsidR="0091013D" w:rsidRPr="00E77EBA" w14:paraId="2E3568DD" w14:textId="77777777" w:rsidTr="00CE2949">
        <w:trPr>
          <w:trHeight w:val="387"/>
        </w:trPr>
        <w:tc>
          <w:tcPr>
            <w:tcW w:w="3539" w:type="dxa"/>
            <w:shd w:val="clear" w:color="auto" w:fill="auto"/>
            <w:vAlign w:val="center"/>
            <w:hideMark/>
          </w:tcPr>
          <w:p w14:paraId="7719703E" w14:textId="77777777" w:rsidR="0091013D" w:rsidRPr="00D245C3" w:rsidRDefault="0091013D" w:rsidP="00FE2C99">
            <w:pPr>
              <w:rPr>
                <w:rFonts w:cs="Arial"/>
                <w:sz w:val="18"/>
                <w:szCs w:val="18"/>
              </w:rPr>
            </w:pPr>
            <w:r w:rsidRPr="00D245C3">
              <w:rPr>
                <w:rFonts w:cs="Arial"/>
                <w:sz w:val="18"/>
                <w:szCs w:val="18"/>
              </w:rPr>
              <w:t xml:space="preserve">Rate per 100,000 </w:t>
            </w:r>
            <w:r>
              <w:rPr>
                <w:rFonts w:cs="Arial"/>
                <w:sz w:val="18"/>
                <w:szCs w:val="18"/>
              </w:rPr>
              <w:t xml:space="preserve">local youth </w:t>
            </w:r>
            <w:r w:rsidRPr="00D245C3">
              <w:rPr>
                <w:rFonts w:cs="Arial"/>
                <w:sz w:val="18"/>
                <w:szCs w:val="18"/>
              </w:rPr>
              <w:t>of first time entrants to youth justice system</w:t>
            </w:r>
          </w:p>
        </w:tc>
        <w:tc>
          <w:tcPr>
            <w:tcW w:w="1109" w:type="dxa"/>
            <w:shd w:val="clear" w:color="auto" w:fill="auto"/>
            <w:vAlign w:val="center"/>
            <w:hideMark/>
          </w:tcPr>
          <w:p w14:paraId="25F3FB7A" w14:textId="77777777" w:rsidR="0091013D" w:rsidRPr="00D245C3" w:rsidRDefault="0091013D" w:rsidP="00FE2C99">
            <w:pPr>
              <w:jc w:val="center"/>
              <w:rPr>
                <w:rFonts w:cs="Arial"/>
                <w:sz w:val="18"/>
                <w:szCs w:val="18"/>
              </w:rPr>
            </w:pPr>
            <w:r w:rsidRPr="00D245C3">
              <w:rPr>
                <w:rFonts w:cs="Arial"/>
                <w:sz w:val="18"/>
                <w:szCs w:val="18"/>
              </w:rPr>
              <w:t>L</w:t>
            </w:r>
          </w:p>
        </w:tc>
        <w:tc>
          <w:tcPr>
            <w:tcW w:w="1726" w:type="dxa"/>
            <w:shd w:val="clear" w:color="000000" w:fill="FFFFFF"/>
            <w:noWrap/>
            <w:vAlign w:val="center"/>
            <w:hideMark/>
          </w:tcPr>
          <w:p w14:paraId="1C034207" w14:textId="77777777" w:rsidR="0091013D" w:rsidRPr="005808B6" w:rsidRDefault="0091013D" w:rsidP="00FE2C99">
            <w:pPr>
              <w:jc w:val="center"/>
              <w:rPr>
                <w:rFonts w:cs="Arial"/>
                <w:color w:val="000000" w:themeColor="text1"/>
                <w:sz w:val="18"/>
                <w:szCs w:val="18"/>
              </w:rPr>
            </w:pPr>
            <w:r w:rsidRPr="005808B6">
              <w:rPr>
                <w:rFonts w:cs="Arial"/>
                <w:color w:val="000000" w:themeColor="text1"/>
                <w:sz w:val="18"/>
                <w:szCs w:val="18"/>
              </w:rPr>
              <w:t>180</w:t>
            </w:r>
          </w:p>
          <w:p w14:paraId="4408BDB1" w14:textId="77777777" w:rsidR="0091013D" w:rsidRPr="005808B6" w:rsidRDefault="0091013D" w:rsidP="00FE2C99">
            <w:pPr>
              <w:jc w:val="center"/>
              <w:rPr>
                <w:rFonts w:cs="Arial"/>
                <w:color w:val="000000" w:themeColor="text1"/>
                <w:sz w:val="18"/>
                <w:szCs w:val="18"/>
              </w:rPr>
            </w:pPr>
            <w:r w:rsidRPr="005808B6">
              <w:rPr>
                <w:rFonts w:cs="Arial"/>
                <w:color w:val="000000" w:themeColor="text1"/>
                <w:sz w:val="18"/>
                <w:szCs w:val="18"/>
              </w:rPr>
              <w:t>(Apr 17 - Mar 18)</w:t>
            </w:r>
          </w:p>
        </w:tc>
        <w:tc>
          <w:tcPr>
            <w:tcW w:w="1701" w:type="dxa"/>
            <w:shd w:val="clear" w:color="auto" w:fill="C5E0B3" w:themeFill="accent6" w:themeFillTint="66"/>
            <w:vAlign w:val="center"/>
          </w:tcPr>
          <w:p w14:paraId="1E61FD27" w14:textId="77777777" w:rsidR="0091013D" w:rsidRPr="005808B6" w:rsidRDefault="0091013D" w:rsidP="00FE2C99">
            <w:pPr>
              <w:jc w:val="center"/>
              <w:rPr>
                <w:rFonts w:cs="Arial"/>
                <w:color w:val="000000" w:themeColor="text1"/>
                <w:sz w:val="18"/>
                <w:szCs w:val="18"/>
              </w:rPr>
            </w:pPr>
            <w:r w:rsidRPr="005808B6">
              <w:rPr>
                <w:rFonts w:cs="Arial"/>
                <w:color w:val="000000" w:themeColor="text1"/>
                <w:sz w:val="18"/>
                <w:szCs w:val="18"/>
              </w:rPr>
              <w:t>200  (Jul 17 - June 18)</w:t>
            </w:r>
          </w:p>
        </w:tc>
        <w:tc>
          <w:tcPr>
            <w:tcW w:w="1701" w:type="dxa"/>
            <w:shd w:val="clear" w:color="000000" w:fill="FFFFFF"/>
            <w:vAlign w:val="center"/>
          </w:tcPr>
          <w:p w14:paraId="30399072" w14:textId="77777777" w:rsidR="0091013D" w:rsidRPr="00B7052D" w:rsidRDefault="0091013D" w:rsidP="00FE2C99">
            <w:pPr>
              <w:jc w:val="center"/>
              <w:rPr>
                <w:rFonts w:cs="Arial"/>
                <w:color w:val="000000" w:themeColor="text1"/>
                <w:sz w:val="18"/>
                <w:szCs w:val="18"/>
              </w:rPr>
            </w:pPr>
            <w:r w:rsidRPr="00B7052D">
              <w:rPr>
                <w:rFonts w:cs="Arial"/>
                <w:color w:val="000000" w:themeColor="text1"/>
                <w:sz w:val="18"/>
                <w:szCs w:val="18"/>
              </w:rPr>
              <w:t>262</w:t>
            </w:r>
          </w:p>
          <w:p w14:paraId="2B671FA3" w14:textId="77777777" w:rsidR="0091013D" w:rsidRPr="00B7052D" w:rsidRDefault="0091013D" w:rsidP="00FE2C99">
            <w:pPr>
              <w:jc w:val="center"/>
              <w:rPr>
                <w:rFonts w:cs="Arial"/>
                <w:color w:val="000000" w:themeColor="text1"/>
                <w:sz w:val="18"/>
                <w:szCs w:val="18"/>
              </w:rPr>
            </w:pPr>
            <w:r w:rsidRPr="00B7052D">
              <w:rPr>
                <w:rFonts w:cs="Arial"/>
                <w:color w:val="000000" w:themeColor="text1"/>
                <w:sz w:val="18"/>
                <w:szCs w:val="18"/>
              </w:rPr>
              <w:t>(Apr 17 - Mar 18)</w:t>
            </w:r>
          </w:p>
        </w:tc>
      </w:tr>
      <w:tr w:rsidR="0091013D" w:rsidRPr="00E77EBA" w14:paraId="13965F31" w14:textId="77777777" w:rsidTr="00CE2949">
        <w:trPr>
          <w:trHeight w:val="229"/>
        </w:trPr>
        <w:tc>
          <w:tcPr>
            <w:tcW w:w="3539" w:type="dxa"/>
            <w:shd w:val="clear" w:color="auto" w:fill="auto"/>
            <w:vAlign w:val="center"/>
            <w:hideMark/>
          </w:tcPr>
          <w:p w14:paraId="5204A60C" w14:textId="77777777" w:rsidR="0091013D" w:rsidRPr="00D245C3" w:rsidRDefault="0091013D" w:rsidP="00FE2C99">
            <w:pPr>
              <w:rPr>
                <w:rFonts w:cs="Arial"/>
                <w:sz w:val="18"/>
                <w:szCs w:val="18"/>
              </w:rPr>
            </w:pPr>
            <w:r w:rsidRPr="00D245C3">
              <w:rPr>
                <w:rFonts w:cs="Arial"/>
                <w:sz w:val="18"/>
                <w:szCs w:val="18"/>
              </w:rPr>
              <w:t>% of Y</w:t>
            </w:r>
            <w:r>
              <w:rPr>
                <w:rFonts w:cs="Arial"/>
                <w:sz w:val="18"/>
                <w:szCs w:val="18"/>
              </w:rPr>
              <w:t xml:space="preserve">oung </w:t>
            </w:r>
            <w:r w:rsidRPr="00D245C3">
              <w:rPr>
                <w:rFonts w:cs="Arial"/>
                <w:sz w:val="18"/>
                <w:szCs w:val="18"/>
              </w:rPr>
              <w:t>P</w:t>
            </w:r>
            <w:r>
              <w:rPr>
                <w:rFonts w:cs="Arial"/>
                <w:sz w:val="18"/>
                <w:szCs w:val="18"/>
              </w:rPr>
              <w:t>eople</w:t>
            </w:r>
            <w:r w:rsidRPr="00D245C3">
              <w:rPr>
                <w:rFonts w:cs="Arial"/>
                <w:sz w:val="18"/>
                <w:szCs w:val="18"/>
              </w:rPr>
              <w:t xml:space="preserve"> reoffending</w:t>
            </w:r>
          </w:p>
        </w:tc>
        <w:tc>
          <w:tcPr>
            <w:tcW w:w="1109" w:type="dxa"/>
            <w:shd w:val="clear" w:color="auto" w:fill="auto"/>
            <w:vAlign w:val="center"/>
            <w:hideMark/>
          </w:tcPr>
          <w:p w14:paraId="17630A4E" w14:textId="77777777" w:rsidR="0091013D" w:rsidRPr="00D245C3" w:rsidRDefault="0091013D" w:rsidP="00FE2C99">
            <w:pPr>
              <w:jc w:val="center"/>
              <w:rPr>
                <w:rFonts w:cs="Arial"/>
                <w:sz w:val="18"/>
                <w:szCs w:val="18"/>
              </w:rPr>
            </w:pPr>
            <w:r w:rsidRPr="00D245C3">
              <w:rPr>
                <w:rFonts w:cs="Arial"/>
                <w:sz w:val="18"/>
                <w:szCs w:val="18"/>
              </w:rPr>
              <w:t>L</w:t>
            </w:r>
          </w:p>
        </w:tc>
        <w:tc>
          <w:tcPr>
            <w:tcW w:w="1726" w:type="dxa"/>
            <w:shd w:val="clear" w:color="000000" w:fill="FFFFFF"/>
            <w:noWrap/>
            <w:vAlign w:val="center"/>
            <w:hideMark/>
          </w:tcPr>
          <w:p w14:paraId="4D8F140C" w14:textId="77777777" w:rsidR="0091013D" w:rsidRPr="005808B6" w:rsidRDefault="0091013D" w:rsidP="00FE2C99">
            <w:pPr>
              <w:jc w:val="center"/>
              <w:rPr>
                <w:rFonts w:cs="Arial"/>
                <w:color w:val="000000" w:themeColor="text1"/>
                <w:sz w:val="18"/>
                <w:szCs w:val="18"/>
              </w:rPr>
            </w:pPr>
            <w:r w:rsidRPr="005808B6">
              <w:rPr>
                <w:rFonts w:cs="Arial"/>
                <w:color w:val="000000" w:themeColor="text1"/>
                <w:sz w:val="18"/>
                <w:szCs w:val="18"/>
              </w:rPr>
              <w:t>39.2%                         (Jul 16 - Sept 16)</w:t>
            </w:r>
          </w:p>
        </w:tc>
        <w:tc>
          <w:tcPr>
            <w:tcW w:w="1701" w:type="dxa"/>
            <w:shd w:val="clear" w:color="auto" w:fill="C5E0B3" w:themeFill="accent6" w:themeFillTint="66"/>
            <w:vAlign w:val="center"/>
          </w:tcPr>
          <w:p w14:paraId="0500F5AB" w14:textId="77777777" w:rsidR="0091013D" w:rsidRPr="005808B6" w:rsidRDefault="0091013D" w:rsidP="00FE2C99">
            <w:pPr>
              <w:jc w:val="center"/>
              <w:rPr>
                <w:rFonts w:cs="Arial"/>
                <w:color w:val="000000" w:themeColor="text1"/>
                <w:sz w:val="18"/>
                <w:szCs w:val="18"/>
              </w:rPr>
            </w:pPr>
            <w:r w:rsidRPr="005808B6">
              <w:rPr>
                <w:rFonts w:cs="Arial"/>
                <w:color w:val="000000" w:themeColor="text1"/>
                <w:sz w:val="18"/>
                <w:szCs w:val="18"/>
              </w:rPr>
              <w:t>38.7%  (Oct 16 - Dec 16)</w:t>
            </w:r>
          </w:p>
        </w:tc>
        <w:tc>
          <w:tcPr>
            <w:tcW w:w="1701" w:type="dxa"/>
            <w:shd w:val="clear" w:color="000000" w:fill="FFFFFF"/>
            <w:vAlign w:val="center"/>
          </w:tcPr>
          <w:p w14:paraId="10DD446A" w14:textId="77777777" w:rsidR="0091013D" w:rsidRPr="00B7052D" w:rsidRDefault="0091013D" w:rsidP="00FE2C99">
            <w:pPr>
              <w:jc w:val="center"/>
              <w:rPr>
                <w:rFonts w:cs="Arial"/>
                <w:color w:val="000000" w:themeColor="text1"/>
                <w:sz w:val="18"/>
                <w:szCs w:val="18"/>
              </w:rPr>
            </w:pPr>
            <w:r w:rsidRPr="00B7052D">
              <w:rPr>
                <w:rFonts w:cs="Arial"/>
                <w:color w:val="000000" w:themeColor="text1"/>
                <w:sz w:val="18"/>
                <w:szCs w:val="18"/>
              </w:rPr>
              <w:t>40.4% (Jul 16 – Sept 16)</w:t>
            </w:r>
          </w:p>
        </w:tc>
      </w:tr>
    </w:tbl>
    <w:p w14:paraId="0ACE95A0" w14:textId="77777777" w:rsidR="0091013D" w:rsidRPr="00E77EBA" w:rsidRDefault="0091013D" w:rsidP="0091013D">
      <w:pPr>
        <w:pStyle w:val="NoSpacing"/>
        <w:rPr>
          <w:rFonts w:ascii="Arial" w:eastAsiaTheme="minorHAnsi" w:hAnsi="Arial" w:cs="Arial"/>
          <w:color w:val="0070C0"/>
          <w:sz w:val="24"/>
          <w:szCs w:val="24"/>
          <w:lang w:eastAsia="en-US"/>
        </w:rPr>
      </w:pPr>
    </w:p>
    <w:p w14:paraId="324EBECB" w14:textId="77777777" w:rsidR="0091013D" w:rsidRPr="002321A1" w:rsidRDefault="0091013D" w:rsidP="0091013D">
      <w:pPr>
        <w:pStyle w:val="NoSpacing"/>
        <w:rPr>
          <w:rFonts w:ascii="Arial" w:eastAsiaTheme="minorHAnsi" w:hAnsi="Arial" w:cs="Arial"/>
          <w:i/>
          <w:color w:val="000000" w:themeColor="text1"/>
          <w:sz w:val="24"/>
          <w:szCs w:val="24"/>
          <w:lang w:eastAsia="en-US"/>
        </w:rPr>
      </w:pPr>
      <w:r w:rsidRPr="002321A1">
        <w:rPr>
          <w:rFonts w:ascii="Arial" w:eastAsiaTheme="minorHAnsi" w:hAnsi="Arial" w:cs="Arial"/>
          <w:i/>
          <w:color w:val="000000" w:themeColor="text1"/>
          <w:sz w:val="24"/>
          <w:szCs w:val="24"/>
          <w:lang w:eastAsia="en-US"/>
        </w:rPr>
        <w:t>Youth Offending Team</w:t>
      </w:r>
    </w:p>
    <w:p w14:paraId="11FA36E8" w14:textId="77777777" w:rsidR="0091013D" w:rsidRPr="00FB54DD" w:rsidRDefault="0091013D" w:rsidP="0091013D">
      <w:pPr>
        <w:pStyle w:val="NoSpacing"/>
        <w:jc w:val="both"/>
        <w:rPr>
          <w:rFonts w:ascii="Arial" w:eastAsiaTheme="minorHAnsi" w:hAnsi="Arial" w:cs="Arial"/>
          <w:color w:val="FF0000"/>
          <w:sz w:val="24"/>
          <w:szCs w:val="24"/>
          <w:lang w:eastAsia="en-US"/>
        </w:rPr>
      </w:pPr>
      <w:r w:rsidRPr="00B7052D">
        <w:rPr>
          <w:rFonts w:ascii="Arial" w:eastAsiaTheme="minorHAnsi" w:hAnsi="Arial" w:cs="Arial"/>
          <w:color w:val="000000" w:themeColor="text1"/>
          <w:sz w:val="24"/>
          <w:szCs w:val="24"/>
          <w:lang w:eastAsia="en-US"/>
        </w:rPr>
        <w:t>There were more first time entrants to the youth justice system in Lancashire for the last reported period but the Lancashire rate of first time entrants remains lower than the national and regional rates.  Lancashire drop</w:t>
      </w:r>
      <w:r>
        <w:rPr>
          <w:rFonts w:ascii="Arial" w:eastAsiaTheme="minorHAnsi" w:hAnsi="Arial" w:cs="Arial"/>
          <w:color w:val="000000" w:themeColor="text1"/>
          <w:sz w:val="24"/>
          <w:szCs w:val="24"/>
          <w:lang w:eastAsia="en-US"/>
        </w:rPr>
        <w:t>ped</w:t>
      </w:r>
      <w:r w:rsidRPr="00B7052D">
        <w:rPr>
          <w:rFonts w:ascii="Arial" w:eastAsiaTheme="minorHAnsi" w:hAnsi="Arial" w:cs="Arial"/>
          <w:color w:val="000000" w:themeColor="text1"/>
          <w:sz w:val="24"/>
          <w:szCs w:val="24"/>
          <w:lang w:eastAsia="en-US"/>
        </w:rPr>
        <w:t xml:space="preserve"> into the second quartile nationally against this indicator.  Lancashire youth re-offending levels have reduced</w:t>
      </w:r>
      <w:r>
        <w:rPr>
          <w:rFonts w:ascii="Arial" w:eastAsiaTheme="minorHAnsi" w:hAnsi="Arial" w:cs="Arial"/>
          <w:color w:val="000000" w:themeColor="text1"/>
          <w:sz w:val="24"/>
          <w:szCs w:val="24"/>
          <w:lang w:eastAsia="en-US"/>
        </w:rPr>
        <w:t xml:space="preserve"> further</w:t>
      </w:r>
      <w:r w:rsidRPr="00B7052D">
        <w:rPr>
          <w:rFonts w:ascii="Arial" w:eastAsiaTheme="minorHAnsi" w:hAnsi="Arial" w:cs="Arial"/>
          <w:color w:val="000000" w:themeColor="text1"/>
          <w:sz w:val="24"/>
          <w:szCs w:val="24"/>
          <w:lang w:eastAsia="en-US"/>
        </w:rPr>
        <w:t xml:space="preserve"> and remain lower than the national and regional rates.  Lancashire continues to be in the second quartile nationally against this indicator.</w:t>
      </w:r>
    </w:p>
    <w:p w14:paraId="47192EDC" w14:textId="77777777" w:rsidR="002A65C3" w:rsidRDefault="002A65C3" w:rsidP="0091013D">
      <w:pPr>
        <w:pStyle w:val="NoSpacing"/>
        <w:jc w:val="both"/>
        <w:rPr>
          <w:rFonts w:ascii="Arial" w:eastAsiaTheme="minorHAnsi" w:hAnsi="Arial" w:cs="Arial"/>
          <w:color w:val="000000" w:themeColor="text1"/>
          <w:sz w:val="24"/>
          <w:szCs w:val="24"/>
          <w:lang w:eastAsia="en-US"/>
        </w:rPr>
      </w:pPr>
    </w:p>
    <w:tbl>
      <w:tblPr>
        <w:tblW w:w="9771" w:type="dxa"/>
        <w:tblLook w:val="04A0" w:firstRow="1" w:lastRow="0" w:firstColumn="1" w:lastColumn="0" w:noHBand="0" w:noVBand="1"/>
      </w:tblPr>
      <w:tblGrid>
        <w:gridCol w:w="4526"/>
        <w:gridCol w:w="927"/>
        <w:gridCol w:w="987"/>
        <w:gridCol w:w="2055"/>
        <w:gridCol w:w="1276"/>
      </w:tblGrid>
      <w:tr w:rsidR="0091013D" w:rsidRPr="00E77EBA" w14:paraId="309525DA" w14:textId="77777777" w:rsidTr="00FE2C99">
        <w:trPr>
          <w:trHeight w:val="87"/>
        </w:trPr>
        <w:tc>
          <w:tcPr>
            <w:tcW w:w="4526"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2C2779D3" w14:textId="77777777" w:rsidR="0091013D" w:rsidRPr="00387D4B" w:rsidRDefault="0091013D" w:rsidP="0091013D">
            <w:pPr>
              <w:rPr>
                <w:rFonts w:cs="Arial"/>
                <w:b/>
                <w:bCs/>
                <w:sz w:val="18"/>
                <w:szCs w:val="18"/>
              </w:rPr>
            </w:pPr>
            <w:r w:rsidRPr="00387D4B">
              <w:rPr>
                <w:rFonts w:cs="Arial"/>
                <w:b/>
                <w:bCs/>
                <w:sz w:val="18"/>
                <w:szCs w:val="18"/>
              </w:rPr>
              <w:t>Performance Measure</w:t>
            </w:r>
          </w:p>
        </w:tc>
        <w:tc>
          <w:tcPr>
            <w:tcW w:w="927" w:type="dxa"/>
            <w:tcBorders>
              <w:top w:val="single" w:sz="4" w:space="0" w:color="auto"/>
              <w:left w:val="nil"/>
              <w:bottom w:val="single" w:sz="8" w:space="0" w:color="auto"/>
              <w:right w:val="single" w:sz="8" w:space="0" w:color="auto"/>
            </w:tcBorders>
            <w:shd w:val="clear" w:color="000000" w:fill="D9D9D9"/>
            <w:vAlign w:val="center"/>
            <w:hideMark/>
          </w:tcPr>
          <w:p w14:paraId="01796D92" w14:textId="77777777" w:rsidR="0091013D" w:rsidRPr="00387D4B" w:rsidRDefault="0091013D" w:rsidP="0091013D">
            <w:pPr>
              <w:jc w:val="center"/>
              <w:rPr>
                <w:rFonts w:cs="Arial"/>
                <w:b/>
                <w:bCs/>
                <w:sz w:val="18"/>
                <w:szCs w:val="18"/>
              </w:rPr>
            </w:pPr>
            <w:r w:rsidRPr="00387D4B">
              <w:rPr>
                <w:rFonts w:cs="Arial"/>
                <w:b/>
                <w:bCs/>
                <w:sz w:val="18"/>
                <w:szCs w:val="18"/>
              </w:rPr>
              <w:t>Good is High or Low</w:t>
            </w:r>
          </w:p>
        </w:tc>
        <w:tc>
          <w:tcPr>
            <w:tcW w:w="987" w:type="dxa"/>
            <w:tcBorders>
              <w:top w:val="single" w:sz="4" w:space="0" w:color="auto"/>
              <w:left w:val="nil"/>
              <w:bottom w:val="single" w:sz="8" w:space="0" w:color="auto"/>
              <w:right w:val="nil"/>
            </w:tcBorders>
            <w:shd w:val="clear" w:color="000000" w:fill="D9D9D9"/>
            <w:noWrap/>
            <w:vAlign w:val="center"/>
            <w:hideMark/>
          </w:tcPr>
          <w:p w14:paraId="2A6D2C51" w14:textId="77777777" w:rsidR="0091013D" w:rsidRPr="00321C53" w:rsidRDefault="0091013D" w:rsidP="0091013D">
            <w:pPr>
              <w:jc w:val="center"/>
              <w:rPr>
                <w:rFonts w:cs="Arial"/>
                <w:b/>
                <w:bCs/>
                <w:color w:val="000000" w:themeColor="text1"/>
                <w:sz w:val="18"/>
                <w:szCs w:val="18"/>
              </w:rPr>
            </w:pPr>
            <w:r w:rsidRPr="00321C53">
              <w:rPr>
                <w:rFonts w:cs="Arial"/>
                <w:b/>
                <w:bCs/>
                <w:color w:val="000000" w:themeColor="text1"/>
                <w:sz w:val="18"/>
                <w:szCs w:val="18"/>
              </w:rPr>
              <w:t>Previous</w:t>
            </w:r>
          </w:p>
          <w:p w14:paraId="3949F4B2" w14:textId="77777777" w:rsidR="0091013D" w:rsidRPr="00321C53" w:rsidRDefault="0091013D" w:rsidP="0091013D">
            <w:pPr>
              <w:jc w:val="center"/>
              <w:rPr>
                <w:rFonts w:cs="Arial"/>
                <w:b/>
                <w:bCs/>
                <w:color w:val="000000" w:themeColor="text1"/>
                <w:sz w:val="18"/>
                <w:szCs w:val="18"/>
              </w:rPr>
            </w:pPr>
            <w:r w:rsidRPr="00321C53">
              <w:rPr>
                <w:rFonts w:cs="Arial"/>
                <w:b/>
                <w:bCs/>
                <w:color w:val="000000" w:themeColor="text1"/>
                <w:sz w:val="18"/>
                <w:szCs w:val="18"/>
              </w:rPr>
              <w:t>Period</w:t>
            </w:r>
          </w:p>
        </w:tc>
        <w:tc>
          <w:tcPr>
            <w:tcW w:w="2055" w:type="dxa"/>
            <w:tcBorders>
              <w:top w:val="single" w:sz="4" w:space="0" w:color="auto"/>
              <w:left w:val="single" w:sz="8" w:space="0" w:color="auto"/>
              <w:bottom w:val="single" w:sz="8" w:space="0" w:color="auto"/>
              <w:right w:val="single" w:sz="8" w:space="0" w:color="auto"/>
            </w:tcBorders>
            <w:shd w:val="clear" w:color="000000" w:fill="D9D9D9"/>
            <w:vAlign w:val="center"/>
          </w:tcPr>
          <w:p w14:paraId="653D2AC3" w14:textId="77777777" w:rsidR="0091013D" w:rsidRPr="00321C53" w:rsidRDefault="0091013D" w:rsidP="0091013D">
            <w:pPr>
              <w:jc w:val="center"/>
              <w:rPr>
                <w:rFonts w:cs="Arial"/>
                <w:b/>
                <w:bCs/>
                <w:color w:val="000000" w:themeColor="text1"/>
                <w:sz w:val="18"/>
                <w:szCs w:val="18"/>
              </w:rPr>
            </w:pPr>
            <w:r w:rsidRPr="00321C53">
              <w:rPr>
                <w:rFonts w:cs="Arial"/>
                <w:b/>
                <w:bCs/>
                <w:color w:val="000000" w:themeColor="text1"/>
                <w:sz w:val="18"/>
                <w:szCs w:val="18"/>
              </w:rPr>
              <w:t>Latest Available</w:t>
            </w:r>
          </w:p>
        </w:tc>
        <w:tc>
          <w:tcPr>
            <w:tcW w:w="1276" w:type="dxa"/>
            <w:tcBorders>
              <w:top w:val="single" w:sz="4" w:space="0" w:color="auto"/>
              <w:left w:val="single" w:sz="8" w:space="0" w:color="auto"/>
              <w:bottom w:val="single" w:sz="8" w:space="0" w:color="auto"/>
              <w:right w:val="single" w:sz="8" w:space="0" w:color="auto"/>
            </w:tcBorders>
            <w:shd w:val="clear" w:color="000000" w:fill="D9D9D9"/>
            <w:vAlign w:val="center"/>
          </w:tcPr>
          <w:p w14:paraId="769E781E" w14:textId="77777777" w:rsidR="0091013D" w:rsidRPr="00321C53" w:rsidRDefault="0091013D" w:rsidP="0091013D">
            <w:pPr>
              <w:jc w:val="center"/>
              <w:rPr>
                <w:rFonts w:cs="Arial"/>
                <w:b/>
                <w:bCs/>
                <w:color w:val="000000" w:themeColor="text1"/>
                <w:sz w:val="18"/>
                <w:szCs w:val="18"/>
              </w:rPr>
            </w:pPr>
            <w:r w:rsidRPr="00321C53">
              <w:rPr>
                <w:rFonts w:cs="Arial"/>
                <w:b/>
                <w:bCs/>
                <w:color w:val="000000" w:themeColor="text1"/>
                <w:sz w:val="18"/>
                <w:szCs w:val="18"/>
              </w:rPr>
              <w:t>England</w:t>
            </w:r>
          </w:p>
          <w:p w14:paraId="38730BB6" w14:textId="77777777" w:rsidR="0091013D" w:rsidRPr="00321C53" w:rsidRDefault="0091013D" w:rsidP="0091013D">
            <w:pPr>
              <w:jc w:val="center"/>
              <w:rPr>
                <w:rFonts w:cs="Arial"/>
                <w:b/>
                <w:bCs/>
                <w:color w:val="000000" w:themeColor="text1"/>
                <w:sz w:val="18"/>
                <w:szCs w:val="18"/>
              </w:rPr>
            </w:pPr>
            <w:r w:rsidRPr="00321C53">
              <w:rPr>
                <w:rFonts w:cs="Arial"/>
                <w:b/>
                <w:bCs/>
                <w:color w:val="000000" w:themeColor="text1"/>
                <w:sz w:val="18"/>
                <w:szCs w:val="18"/>
              </w:rPr>
              <w:t>Average</w:t>
            </w:r>
          </w:p>
        </w:tc>
      </w:tr>
      <w:tr w:rsidR="0091013D" w:rsidRPr="00E77EBA" w14:paraId="15DDCA2E" w14:textId="77777777" w:rsidTr="00FE2C99">
        <w:trPr>
          <w:trHeight w:val="60"/>
        </w:trPr>
        <w:tc>
          <w:tcPr>
            <w:tcW w:w="9771" w:type="dxa"/>
            <w:gridSpan w:val="5"/>
            <w:tcBorders>
              <w:top w:val="single" w:sz="8" w:space="0" w:color="auto"/>
              <w:left w:val="single" w:sz="8" w:space="0" w:color="auto"/>
              <w:bottom w:val="single" w:sz="8" w:space="0" w:color="auto"/>
              <w:right w:val="single" w:sz="8" w:space="0" w:color="auto"/>
            </w:tcBorders>
            <w:shd w:val="clear" w:color="000000" w:fill="D9D9D9"/>
            <w:vAlign w:val="center"/>
          </w:tcPr>
          <w:p w14:paraId="64D9E2C7" w14:textId="77777777" w:rsidR="0091013D" w:rsidRPr="00387D4B" w:rsidRDefault="0091013D" w:rsidP="0091013D">
            <w:pPr>
              <w:rPr>
                <w:rFonts w:cs="Arial"/>
                <w:b/>
                <w:bCs/>
                <w:sz w:val="18"/>
                <w:szCs w:val="18"/>
              </w:rPr>
            </w:pPr>
            <w:r w:rsidRPr="00387D4B">
              <w:rPr>
                <w:rFonts w:cs="Arial"/>
                <w:b/>
                <w:bCs/>
                <w:sz w:val="18"/>
                <w:szCs w:val="18"/>
              </w:rPr>
              <w:t>School Improvement</w:t>
            </w:r>
          </w:p>
        </w:tc>
      </w:tr>
      <w:tr w:rsidR="0091013D" w:rsidRPr="00E77EBA" w14:paraId="6F1443FF" w14:textId="77777777" w:rsidTr="00FE2C99">
        <w:trPr>
          <w:trHeight w:val="60"/>
        </w:trPr>
        <w:tc>
          <w:tcPr>
            <w:tcW w:w="4526" w:type="dxa"/>
            <w:tcBorders>
              <w:top w:val="nil"/>
              <w:left w:val="single" w:sz="8" w:space="0" w:color="auto"/>
              <w:bottom w:val="single" w:sz="4" w:space="0" w:color="auto"/>
              <w:right w:val="single" w:sz="8" w:space="0" w:color="auto"/>
            </w:tcBorders>
            <w:shd w:val="clear" w:color="auto" w:fill="auto"/>
            <w:vAlign w:val="center"/>
          </w:tcPr>
          <w:p w14:paraId="78A21109" w14:textId="77777777" w:rsidR="0091013D" w:rsidRPr="00387D4B" w:rsidRDefault="0091013D" w:rsidP="00FE2C99">
            <w:pPr>
              <w:rPr>
                <w:rFonts w:cs="Arial"/>
                <w:sz w:val="18"/>
                <w:szCs w:val="18"/>
              </w:rPr>
            </w:pPr>
            <w:r w:rsidRPr="00EC4478">
              <w:rPr>
                <w:rFonts w:cs="Arial"/>
                <w:sz w:val="18"/>
                <w:szCs w:val="18"/>
              </w:rPr>
              <w:t>Percentage of pupils r</w:t>
            </w:r>
            <w:r w:rsidR="00EC44DE">
              <w:rPr>
                <w:rFonts w:cs="Arial"/>
                <w:sz w:val="18"/>
                <w:szCs w:val="18"/>
              </w:rPr>
              <w:t xml:space="preserve">eaching the expected standard </w:t>
            </w:r>
            <w:r w:rsidRPr="00EC4478">
              <w:rPr>
                <w:rFonts w:cs="Arial"/>
                <w:sz w:val="18"/>
                <w:szCs w:val="18"/>
              </w:rPr>
              <w:t>in reading, writing and mathematics at KS2</w:t>
            </w:r>
          </w:p>
        </w:tc>
        <w:tc>
          <w:tcPr>
            <w:tcW w:w="927" w:type="dxa"/>
            <w:tcBorders>
              <w:top w:val="nil"/>
              <w:left w:val="nil"/>
              <w:bottom w:val="single" w:sz="4" w:space="0" w:color="auto"/>
              <w:right w:val="single" w:sz="8" w:space="0" w:color="auto"/>
            </w:tcBorders>
            <w:shd w:val="clear" w:color="auto" w:fill="auto"/>
            <w:vAlign w:val="center"/>
          </w:tcPr>
          <w:p w14:paraId="7C748DA9" w14:textId="77777777" w:rsidR="0091013D" w:rsidRPr="00387D4B" w:rsidRDefault="0091013D" w:rsidP="00FE2C99">
            <w:pPr>
              <w:jc w:val="center"/>
              <w:rPr>
                <w:rFonts w:cs="Arial"/>
                <w:sz w:val="18"/>
                <w:szCs w:val="18"/>
              </w:rPr>
            </w:pPr>
            <w:r>
              <w:rPr>
                <w:rFonts w:cs="Arial"/>
                <w:sz w:val="18"/>
                <w:szCs w:val="18"/>
              </w:rPr>
              <w:t>H</w:t>
            </w:r>
          </w:p>
        </w:tc>
        <w:tc>
          <w:tcPr>
            <w:tcW w:w="987" w:type="dxa"/>
            <w:tcBorders>
              <w:top w:val="nil"/>
              <w:left w:val="nil"/>
              <w:bottom w:val="single" w:sz="4" w:space="0" w:color="auto"/>
              <w:right w:val="single" w:sz="8" w:space="0" w:color="auto"/>
            </w:tcBorders>
            <w:shd w:val="clear" w:color="auto" w:fill="auto"/>
            <w:noWrap/>
            <w:vAlign w:val="center"/>
          </w:tcPr>
          <w:p w14:paraId="1E6B954A" w14:textId="77777777" w:rsidR="0091013D" w:rsidRPr="00321C53" w:rsidRDefault="0091013D" w:rsidP="00FE2C99">
            <w:pPr>
              <w:jc w:val="center"/>
              <w:rPr>
                <w:color w:val="000000" w:themeColor="text1"/>
                <w:sz w:val="18"/>
                <w:szCs w:val="18"/>
              </w:rPr>
            </w:pPr>
            <w:r w:rsidRPr="00321C53">
              <w:rPr>
                <w:color w:val="000000" w:themeColor="text1"/>
                <w:sz w:val="18"/>
                <w:szCs w:val="18"/>
              </w:rPr>
              <w:t>61.0% (2016/17)</w:t>
            </w:r>
          </w:p>
        </w:tc>
        <w:tc>
          <w:tcPr>
            <w:tcW w:w="2055" w:type="dxa"/>
            <w:tcBorders>
              <w:top w:val="nil"/>
              <w:left w:val="nil"/>
              <w:bottom w:val="single" w:sz="8" w:space="0" w:color="auto"/>
              <w:right w:val="single" w:sz="4" w:space="0" w:color="auto"/>
            </w:tcBorders>
            <w:shd w:val="clear" w:color="auto" w:fill="C5E0B3" w:themeFill="accent6" w:themeFillTint="66"/>
            <w:vAlign w:val="center"/>
          </w:tcPr>
          <w:p w14:paraId="204B0C54" w14:textId="77777777" w:rsidR="0091013D" w:rsidRPr="00321C53" w:rsidRDefault="0091013D" w:rsidP="00FE2C99">
            <w:pPr>
              <w:jc w:val="center"/>
              <w:rPr>
                <w:color w:val="000000" w:themeColor="text1"/>
                <w:sz w:val="18"/>
                <w:szCs w:val="18"/>
              </w:rPr>
            </w:pPr>
            <w:r w:rsidRPr="00321C53">
              <w:rPr>
                <w:color w:val="000000" w:themeColor="text1"/>
                <w:sz w:val="18"/>
                <w:szCs w:val="18"/>
              </w:rPr>
              <w:t>65.0% (2017/18 revised)</w:t>
            </w:r>
          </w:p>
        </w:tc>
        <w:tc>
          <w:tcPr>
            <w:tcW w:w="1276" w:type="dxa"/>
            <w:tcBorders>
              <w:top w:val="nil"/>
              <w:left w:val="single" w:sz="4" w:space="0" w:color="auto"/>
              <w:bottom w:val="single" w:sz="8" w:space="0" w:color="auto"/>
              <w:right w:val="single" w:sz="8" w:space="0" w:color="auto"/>
            </w:tcBorders>
            <w:shd w:val="clear" w:color="000000" w:fill="FFFFFF"/>
            <w:vAlign w:val="center"/>
          </w:tcPr>
          <w:p w14:paraId="7A24C130" w14:textId="77777777" w:rsidR="0091013D" w:rsidRPr="00321C53" w:rsidRDefault="0091013D" w:rsidP="00FE2C99">
            <w:pPr>
              <w:jc w:val="center"/>
              <w:rPr>
                <w:rFonts w:cs="Arial"/>
                <w:color w:val="000000" w:themeColor="text1"/>
                <w:sz w:val="18"/>
                <w:szCs w:val="18"/>
              </w:rPr>
            </w:pPr>
            <w:r w:rsidRPr="00321C53">
              <w:rPr>
                <w:rFonts w:cs="Arial"/>
                <w:color w:val="000000" w:themeColor="text1"/>
                <w:sz w:val="18"/>
                <w:szCs w:val="18"/>
              </w:rPr>
              <w:t>65%</w:t>
            </w:r>
          </w:p>
        </w:tc>
      </w:tr>
      <w:tr w:rsidR="0091013D" w:rsidRPr="00E77EBA" w14:paraId="1CB8CACF" w14:textId="77777777" w:rsidTr="00FE2C99">
        <w:trPr>
          <w:trHeight w:val="60"/>
        </w:trPr>
        <w:tc>
          <w:tcPr>
            <w:tcW w:w="4526" w:type="dxa"/>
            <w:tcBorders>
              <w:top w:val="nil"/>
              <w:left w:val="single" w:sz="8" w:space="0" w:color="auto"/>
              <w:bottom w:val="single" w:sz="4" w:space="0" w:color="auto"/>
              <w:right w:val="single" w:sz="8" w:space="0" w:color="auto"/>
            </w:tcBorders>
            <w:shd w:val="clear" w:color="auto" w:fill="auto"/>
            <w:vAlign w:val="center"/>
          </w:tcPr>
          <w:p w14:paraId="77818DB0" w14:textId="77777777" w:rsidR="0091013D" w:rsidRPr="000A321F" w:rsidRDefault="0091013D" w:rsidP="00FE2C99">
            <w:pPr>
              <w:rPr>
                <w:rFonts w:cs="Arial"/>
                <w:sz w:val="18"/>
                <w:szCs w:val="18"/>
              </w:rPr>
            </w:pPr>
            <w:r w:rsidRPr="00EC4478">
              <w:rPr>
                <w:rFonts w:cs="Arial"/>
                <w:sz w:val="18"/>
                <w:szCs w:val="18"/>
              </w:rPr>
              <w:t>Average Attainment 8 score at GCSE</w:t>
            </w:r>
          </w:p>
        </w:tc>
        <w:tc>
          <w:tcPr>
            <w:tcW w:w="927" w:type="dxa"/>
            <w:tcBorders>
              <w:top w:val="nil"/>
              <w:left w:val="nil"/>
              <w:bottom w:val="single" w:sz="4" w:space="0" w:color="auto"/>
              <w:right w:val="single" w:sz="8" w:space="0" w:color="auto"/>
            </w:tcBorders>
            <w:shd w:val="clear" w:color="auto" w:fill="auto"/>
            <w:vAlign w:val="center"/>
          </w:tcPr>
          <w:p w14:paraId="4025831C" w14:textId="77777777" w:rsidR="0091013D" w:rsidRPr="00387D4B" w:rsidRDefault="0091013D" w:rsidP="00FE2C99">
            <w:pPr>
              <w:jc w:val="center"/>
              <w:rPr>
                <w:rFonts w:cs="Arial"/>
                <w:sz w:val="18"/>
                <w:szCs w:val="18"/>
              </w:rPr>
            </w:pPr>
            <w:r>
              <w:rPr>
                <w:rFonts w:cs="Arial"/>
                <w:sz w:val="18"/>
                <w:szCs w:val="18"/>
              </w:rPr>
              <w:t>H</w:t>
            </w:r>
          </w:p>
        </w:tc>
        <w:tc>
          <w:tcPr>
            <w:tcW w:w="987" w:type="dxa"/>
            <w:tcBorders>
              <w:top w:val="nil"/>
              <w:left w:val="nil"/>
              <w:bottom w:val="single" w:sz="4" w:space="0" w:color="auto"/>
              <w:right w:val="single" w:sz="8" w:space="0" w:color="auto"/>
            </w:tcBorders>
            <w:shd w:val="clear" w:color="auto" w:fill="auto"/>
            <w:noWrap/>
            <w:vAlign w:val="center"/>
          </w:tcPr>
          <w:p w14:paraId="7A23B1D8" w14:textId="77777777" w:rsidR="0091013D" w:rsidRPr="00321C53" w:rsidRDefault="0091013D" w:rsidP="00FE2C99">
            <w:pPr>
              <w:jc w:val="center"/>
              <w:rPr>
                <w:color w:val="000000" w:themeColor="text1"/>
                <w:sz w:val="18"/>
                <w:szCs w:val="18"/>
              </w:rPr>
            </w:pPr>
            <w:r w:rsidRPr="00321C53">
              <w:rPr>
                <w:color w:val="000000" w:themeColor="text1"/>
                <w:sz w:val="18"/>
                <w:szCs w:val="18"/>
              </w:rPr>
              <w:t>45.7 (2016/17)</w:t>
            </w:r>
          </w:p>
        </w:tc>
        <w:tc>
          <w:tcPr>
            <w:tcW w:w="2055" w:type="dxa"/>
            <w:tcBorders>
              <w:top w:val="nil"/>
              <w:left w:val="nil"/>
              <w:bottom w:val="single" w:sz="8" w:space="0" w:color="auto"/>
              <w:right w:val="single" w:sz="4" w:space="0" w:color="auto"/>
            </w:tcBorders>
            <w:shd w:val="clear" w:color="auto" w:fill="C5E0B3" w:themeFill="accent6" w:themeFillTint="66"/>
            <w:vAlign w:val="center"/>
          </w:tcPr>
          <w:p w14:paraId="466AA228" w14:textId="77777777" w:rsidR="0091013D" w:rsidRPr="00321C53" w:rsidRDefault="0091013D" w:rsidP="00FE2C99">
            <w:pPr>
              <w:jc w:val="center"/>
              <w:rPr>
                <w:color w:val="000000" w:themeColor="text1"/>
                <w:sz w:val="18"/>
                <w:szCs w:val="18"/>
              </w:rPr>
            </w:pPr>
            <w:r w:rsidRPr="00321C53">
              <w:rPr>
                <w:color w:val="000000" w:themeColor="text1"/>
                <w:sz w:val="18"/>
                <w:szCs w:val="18"/>
              </w:rPr>
              <w:t xml:space="preserve">46.7 (2017/18 </w:t>
            </w:r>
            <w:r>
              <w:rPr>
                <w:color w:val="000000" w:themeColor="text1"/>
                <w:sz w:val="18"/>
                <w:szCs w:val="18"/>
              </w:rPr>
              <w:t>revised</w:t>
            </w:r>
            <w:r w:rsidRPr="00321C53">
              <w:rPr>
                <w:color w:val="000000" w:themeColor="text1"/>
                <w:sz w:val="18"/>
                <w:szCs w:val="18"/>
              </w:rPr>
              <w:t>)</w:t>
            </w:r>
          </w:p>
        </w:tc>
        <w:tc>
          <w:tcPr>
            <w:tcW w:w="1276" w:type="dxa"/>
            <w:tcBorders>
              <w:top w:val="nil"/>
              <w:left w:val="single" w:sz="4" w:space="0" w:color="auto"/>
              <w:bottom w:val="single" w:sz="8" w:space="0" w:color="auto"/>
              <w:right w:val="single" w:sz="8" w:space="0" w:color="auto"/>
            </w:tcBorders>
            <w:shd w:val="clear" w:color="000000" w:fill="FFFFFF"/>
            <w:vAlign w:val="center"/>
          </w:tcPr>
          <w:p w14:paraId="03DBA796" w14:textId="77777777" w:rsidR="0091013D" w:rsidRPr="00321C53" w:rsidRDefault="0091013D" w:rsidP="00FE2C99">
            <w:pPr>
              <w:jc w:val="center"/>
              <w:rPr>
                <w:rFonts w:cs="Arial"/>
                <w:color w:val="000000" w:themeColor="text1"/>
                <w:sz w:val="18"/>
                <w:szCs w:val="18"/>
              </w:rPr>
            </w:pPr>
            <w:r w:rsidRPr="00321C53">
              <w:rPr>
                <w:rFonts w:cs="Arial"/>
                <w:color w:val="000000" w:themeColor="text1"/>
                <w:sz w:val="18"/>
                <w:szCs w:val="18"/>
              </w:rPr>
              <w:t>46.6</w:t>
            </w:r>
          </w:p>
        </w:tc>
      </w:tr>
      <w:tr w:rsidR="0091013D" w:rsidRPr="00E77EBA" w14:paraId="6EFED09A" w14:textId="77777777" w:rsidTr="00FE2C99">
        <w:trPr>
          <w:trHeight w:val="60"/>
        </w:trPr>
        <w:tc>
          <w:tcPr>
            <w:tcW w:w="4526" w:type="dxa"/>
            <w:tcBorders>
              <w:top w:val="nil"/>
              <w:left w:val="single" w:sz="8" w:space="0" w:color="auto"/>
              <w:bottom w:val="single" w:sz="4" w:space="0" w:color="auto"/>
              <w:right w:val="single" w:sz="8" w:space="0" w:color="auto"/>
            </w:tcBorders>
            <w:shd w:val="clear" w:color="auto" w:fill="auto"/>
            <w:vAlign w:val="center"/>
          </w:tcPr>
          <w:p w14:paraId="78492C34" w14:textId="77777777" w:rsidR="0091013D" w:rsidRPr="00D33935" w:rsidRDefault="0091013D" w:rsidP="00FE2C99">
            <w:pPr>
              <w:rPr>
                <w:rFonts w:cs="Arial"/>
                <w:sz w:val="18"/>
                <w:szCs w:val="18"/>
              </w:rPr>
            </w:pPr>
            <w:r w:rsidRPr="00D33935">
              <w:rPr>
                <w:rFonts w:cs="Arial"/>
                <w:sz w:val="18"/>
                <w:szCs w:val="18"/>
              </w:rPr>
              <w:t>Average Progress 8 score at GCSE</w:t>
            </w:r>
          </w:p>
        </w:tc>
        <w:tc>
          <w:tcPr>
            <w:tcW w:w="927" w:type="dxa"/>
            <w:tcBorders>
              <w:top w:val="nil"/>
              <w:left w:val="nil"/>
              <w:bottom w:val="single" w:sz="4" w:space="0" w:color="auto"/>
              <w:right w:val="single" w:sz="8" w:space="0" w:color="auto"/>
            </w:tcBorders>
            <w:shd w:val="clear" w:color="auto" w:fill="auto"/>
            <w:vAlign w:val="center"/>
          </w:tcPr>
          <w:p w14:paraId="2A31D242" w14:textId="77777777" w:rsidR="0091013D" w:rsidRPr="00D33935" w:rsidRDefault="0091013D" w:rsidP="00FE2C99">
            <w:pPr>
              <w:jc w:val="center"/>
              <w:rPr>
                <w:rFonts w:cs="Arial"/>
                <w:sz w:val="18"/>
                <w:szCs w:val="18"/>
              </w:rPr>
            </w:pPr>
            <w:r w:rsidRPr="00D33935">
              <w:rPr>
                <w:rFonts w:cs="Arial"/>
                <w:sz w:val="18"/>
                <w:szCs w:val="18"/>
              </w:rPr>
              <w:t>H</w:t>
            </w:r>
          </w:p>
        </w:tc>
        <w:tc>
          <w:tcPr>
            <w:tcW w:w="987" w:type="dxa"/>
            <w:tcBorders>
              <w:top w:val="nil"/>
              <w:left w:val="nil"/>
              <w:bottom w:val="single" w:sz="4" w:space="0" w:color="auto"/>
              <w:right w:val="single" w:sz="8" w:space="0" w:color="auto"/>
            </w:tcBorders>
            <w:shd w:val="clear" w:color="auto" w:fill="auto"/>
            <w:noWrap/>
            <w:vAlign w:val="center"/>
          </w:tcPr>
          <w:p w14:paraId="545C021F" w14:textId="77777777" w:rsidR="0091013D" w:rsidRPr="00821FC4" w:rsidRDefault="0091013D" w:rsidP="00FE2C99">
            <w:pPr>
              <w:jc w:val="center"/>
              <w:rPr>
                <w:color w:val="000000" w:themeColor="text1"/>
                <w:sz w:val="18"/>
                <w:szCs w:val="18"/>
              </w:rPr>
            </w:pPr>
            <w:r w:rsidRPr="00821FC4">
              <w:rPr>
                <w:color w:val="000000" w:themeColor="text1"/>
                <w:sz w:val="18"/>
                <w:szCs w:val="18"/>
              </w:rPr>
              <w:t>-0.14</w:t>
            </w:r>
          </w:p>
          <w:p w14:paraId="68CA386D" w14:textId="77777777" w:rsidR="0091013D" w:rsidRPr="00FB54DD" w:rsidRDefault="0091013D" w:rsidP="00FE2C99">
            <w:pPr>
              <w:jc w:val="center"/>
              <w:rPr>
                <w:color w:val="FF0000"/>
                <w:sz w:val="18"/>
                <w:szCs w:val="18"/>
              </w:rPr>
            </w:pPr>
            <w:r w:rsidRPr="00821FC4">
              <w:rPr>
                <w:color w:val="000000" w:themeColor="text1"/>
                <w:sz w:val="18"/>
                <w:szCs w:val="18"/>
              </w:rPr>
              <w:lastRenderedPageBreak/>
              <w:t>(2016/17)</w:t>
            </w:r>
          </w:p>
        </w:tc>
        <w:tc>
          <w:tcPr>
            <w:tcW w:w="2055" w:type="dxa"/>
            <w:tcBorders>
              <w:top w:val="nil"/>
              <w:left w:val="nil"/>
              <w:bottom w:val="single" w:sz="8" w:space="0" w:color="auto"/>
              <w:right w:val="single" w:sz="4" w:space="0" w:color="auto"/>
            </w:tcBorders>
            <w:shd w:val="clear" w:color="auto" w:fill="C5E0B3" w:themeFill="accent6" w:themeFillTint="66"/>
            <w:vAlign w:val="center"/>
          </w:tcPr>
          <w:p w14:paraId="30E38D48" w14:textId="77777777" w:rsidR="0091013D" w:rsidRPr="00821FC4" w:rsidRDefault="0091013D" w:rsidP="00FE2C99">
            <w:pPr>
              <w:jc w:val="center"/>
              <w:rPr>
                <w:color w:val="000000" w:themeColor="text1"/>
                <w:sz w:val="18"/>
                <w:szCs w:val="18"/>
              </w:rPr>
            </w:pPr>
            <w:r w:rsidRPr="00821FC4">
              <w:rPr>
                <w:color w:val="000000" w:themeColor="text1"/>
                <w:sz w:val="18"/>
                <w:szCs w:val="18"/>
              </w:rPr>
              <w:lastRenderedPageBreak/>
              <w:t>-0.09</w:t>
            </w:r>
          </w:p>
          <w:p w14:paraId="24AFDB46" w14:textId="77777777" w:rsidR="0091013D" w:rsidRPr="00FB54DD" w:rsidRDefault="0091013D" w:rsidP="00FE2C99">
            <w:pPr>
              <w:jc w:val="center"/>
              <w:rPr>
                <w:color w:val="FF0000"/>
                <w:sz w:val="18"/>
                <w:szCs w:val="18"/>
              </w:rPr>
            </w:pPr>
            <w:r w:rsidRPr="00821FC4">
              <w:rPr>
                <w:color w:val="000000" w:themeColor="text1"/>
                <w:sz w:val="18"/>
                <w:szCs w:val="18"/>
              </w:rPr>
              <w:lastRenderedPageBreak/>
              <w:t>(2017/18 revised)</w:t>
            </w:r>
          </w:p>
        </w:tc>
        <w:tc>
          <w:tcPr>
            <w:tcW w:w="1276" w:type="dxa"/>
            <w:tcBorders>
              <w:top w:val="nil"/>
              <w:left w:val="single" w:sz="4" w:space="0" w:color="auto"/>
              <w:bottom w:val="single" w:sz="8" w:space="0" w:color="auto"/>
              <w:right w:val="single" w:sz="8" w:space="0" w:color="auto"/>
            </w:tcBorders>
            <w:shd w:val="clear" w:color="000000" w:fill="FFFFFF"/>
            <w:vAlign w:val="center"/>
          </w:tcPr>
          <w:p w14:paraId="097BD749" w14:textId="77777777" w:rsidR="0091013D" w:rsidRPr="00FB54DD" w:rsidRDefault="0091013D" w:rsidP="00FE2C99">
            <w:pPr>
              <w:jc w:val="center"/>
              <w:rPr>
                <w:rFonts w:cs="Arial"/>
                <w:color w:val="FF0000"/>
                <w:sz w:val="18"/>
                <w:szCs w:val="18"/>
              </w:rPr>
            </w:pPr>
            <w:r w:rsidRPr="00821FC4">
              <w:rPr>
                <w:rFonts w:cs="Arial"/>
                <w:color w:val="000000" w:themeColor="text1"/>
                <w:sz w:val="18"/>
                <w:szCs w:val="18"/>
              </w:rPr>
              <w:lastRenderedPageBreak/>
              <w:t>-0.02</w:t>
            </w:r>
          </w:p>
        </w:tc>
      </w:tr>
      <w:tr w:rsidR="0091013D" w:rsidRPr="00E77EBA" w14:paraId="19961713" w14:textId="77777777" w:rsidTr="00FE2C99">
        <w:trPr>
          <w:trHeight w:val="60"/>
        </w:trPr>
        <w:tc>
          <w:tcPr>
            <w:tcW w:w="4526" w:type="dxa"/>
            <w:tcBorders>
              <w:top w:val="nil"/>
              <w:left w:val="single" w:sz="8" w:space="0" w:color="auto"/>
              <w:bottom w:val="single" w:sz="4" w:space="0" w:color="auto"/>
              <w:right w:val="single" w:sz="8" w:space="0" w:color="auto"/>
            </w:tcBorders>
            <w:vAlign w:val="center"/>
          </w:tcPr>
          <w:p w14:paraId="40958FEB" w14:textId="77777777" w:rsidR="0091013D" w:rsidRPr="00387D4B" w:rsidRDefault="0091013D" w:rsidP="00FE2C99">
            <w:pPr>
              <w:rPr>
                <w:rFonts w:cs="Arial"/>
                <w:sz w:val="18"/>
                <w:szCs w:val="18"/>
              </w:rPr>
            </w:pPr>
            <w:r w:rsidRPr="00387D4B">
              <w:rPr>
                <w:sz w:val="18"/>
                <w:szCs w:val="18"/>
              </w:rPr>
              <w:t>% Education settings rated Good/Outstanding</w:t>
            </w:r>
          </w:p>
        </w:tc>
        <w:tc>
          <w:tcPr>
            <w:tcW w:w="927" w:type="dxa"/>
            <w:tcBorders>
              <w:top w:val="nil"/>
              <w:left w:val="nil"/>
              <w:bottom w:val="single" w:sz="4" w:space="0" w:color="auto"/>
              <w:right w:val="single" w:sz="8" w:space="0" w:color="auto"/>
            </w:tcBorders>
            <w:vAlign w:val="center"/>
          </w:tcPr>
          <w:p w14:paraId="44BEFA78" w14:textId="77777777" w:rsidR="0091013D" w:rsidRPr="00387D4B" w:rsidRDefault="0091013D" w:rsidP="00FE2C99">
            <w:pPr>
              <w:jc w:val="center"/>
              <w:rPr>
                <w:rFonts w:cs="Arial"/>
                <w:sz w:val="18"/>
                <w:szCs w:val="18"/>
              </w:rPr>
            </w:pPr>
            <w:r w:rsidRPr="00387D4B">
              <w:rPr>
                <w:sz w:val="18"/>
                <w:szCs w:val="18"/>
              </w:rPr>
              <w:t>H</w:t>
            </w:r>
          </w:p>
        </w:tc>
        <w:tc>
          <w:tcPr>
            <w:tcW w:w="987" w:type="dxa"/>
            <w:tcBorders>
              <w:top w:val="nil"/>
              <w:left w:val="nil"/>
              <w:bottom w:val="single" w:sz="4" w:space="0" w:color="auto"/>
              <w:right w:val="single" w:sz="8" w:space="0" w:color="auto"/>
            </w:tcBorders>
            <w:noWrap/>
            <w:vAlign w:val="center"/>
          </w:tcPr>
          <w:p w14:paraId="6D9BAE19" w14:textId="77777777" w:rsidR="0091013D" w:rsidRPr="00821FC4" w:rsidRDefault="0091013D" w:rsidP="00FE2C99">
            <w:pPr>
              <w:jc w:val="center"/>
              <w:rPr>
                <w:color w:val="000000" w:themeColor="text1"/>
                <w:sz w:val="18"/>
                <w:szCs w:val="18"/>
              </w:rPr>
            </w:pPr>
            <w:r w:rsidRPr="00821FC4">
              <w:rPr>
                <w:color w:val="000000" w:themeColor="text1"/>
                <w:sz w:val="18"/>
                <w:szCs w:val="18"/>
              </w:rPr>
              <w:t>89.5%</w:t>
            </w:r>
          </w:p>
          <w:p w14:paraId="0872F37D" w14:textId="77777777" w:rsidR="0091013D" w:rsidRPr="00FB54DD" w:rsidRDefault="0091013D" w:rsidP="00FE2C99">
            <w:pPr>
              <w:jc w:val="center"/>
              <w:rPr>
                <w:rFonts w:cs="Arial"/>
                <w:color w:val="FF0000"/>
                <w:sz w:val="18"/>
                <w:szCs w:val="18"/>
              </w:rPr>
            </w:pPr>
            <w:r w:rsidRPr="00821FC4">
              <w:rPr>
                <w:color w:val="000000" w:themeColor="text1"/>
                <w:sz w:val="18"/>
                <w:szCs w:val="18"/>
              </w:rPr>
              <w:t>(Sept 18)</w:t>
            </w:r>
          </w:p>
        </w:tc>
        <w:tc>
          <w:tcPr>
            <w:tcW w:w="2055" w:type="dxa"/>
            <w:tcBorders>
              <w:top w:val="nil"/>
              <w:left w:val="nil"/>
              <w:bottom w:val="single" w:sz="4" w:space="0" w:color="auto"/>
              <w:right w:val="single" w:sz="4" w:space="0" w:color="auto"/>
            </w:tcBorders>
            <w:shd w:val="clear" w:color="auto" w:fill="C5E0B3" w:themeFill="accent6" w:themeFillTint="66"/>
            <w:vAlign w:val="center"/>
          </w:tcPr>
          <w:p w14:paraId="3CF3C65F" w14:textId="77777777" w:rsidR="0091013D" w:rsidRPr="00821FC4" w:rsidRDefault="0091013D" w:rsidP="00FE2C99">
            <w:pPr>
              <w:jc w:val="center"/>
              <w:rPr>
                <w:color w:val="000000" w:themeColor="text1"/>
                <w:sz w:val="18"/>
                <w:szCs w:val="18"/>
              </w:rPr>
            </w:pPr>
            <w:r w:rsidRPr="00821FC4">
              <w:rPr>
                <w:color w:val="000000" w:themeColor="text1"/>
                <w:sz w:val="18"/>
                <w:szCs w:val="18"/>
              </w:rPr>
              <w:t>89.3%</w:t>
            </w:r>
          </w:p>
          <w:p w14:paraId="6F0DFAAF" w14:textId="77777777" w:rsidR="0091013D" w:rsidRPr="00FB54DD" w:rsidRDefault="0091013D" w:rsidP="00FE2C99">
            <w:pPr>
              <w:jc w:val="center"/>
              <w:rPr>
                <w:color w:val="FF0000"/>
                <w:sz w:val="18"/>
                <w:szCs w:val="18"/>
              </w:rPr>
            </w:pPr>
            <w:r w:rsidRPr="00821FC4">
              <w:rPr>
                <w:color w:val="000000" w:themeColor="text1"/>
                <w:sz w:val="18"/>
                <w:szCs w:val="18"/>
              </w:rPr>
              <w:t>(Dec 18)</w:t>
            </w:r>
          </w:p>
        </w:tc>
        <w:tc>
          <w:tcPr>
            <w:tcW w:w="1276" w:type="dxa"/>
            <w:tcBorders>
              <w:top w:val="nil"/>
              <w:left w:val="single" w:sz="4" w:space="0" w:color="auto"/>
              <w:bottom w:val="single" w:sz="4" w:space="0" w:color="auto"/>
              <w:right w:val="single" w:sz="8" w:space="0" w:color="auto"/>
            </w:tcBorders>
            <w:shd w:val="clear" w:color="auto" w:fill="FFFFFF"/>
            <w:vAlign w:val="center"/>
          </w:tcPr>
          <w:p w14:paraId="0656F30E" w14:textId="77777777" w:rsidR="0091013D" w:rsidRPr="00821FC4" w:rsidRDefault="0091013D" w:rsidP="00FE2C99">
            <w:pPr>
              <w:jc w:val="center"/>
              <w:rPr>
                <w:color w:val="000000" w:themeColor="text1"/>
                <w:sz w:val="18"/>
                <w:szCs w:val="18"/>
              </w:rPr>
            </w:pPr>
            <w:r w:rsidRPr="00821FC4">
              <w:rPr>
                <w:color w:val="000000" w:themeColor="text1"/>
                <w:sz w:val="18"/>
                <w:szCs w:val="18"/>
              </w:rPr>
              <w:t>85.0%</w:t>
            </w:r>
          </w:p>
          <w:p w14:paraId="50B70DB7" w14:textId="77777777" w:rsidR="0091013D" w:rsidRPr="00FB54DD" w:rsidRDefault="0091013D" w:rsidP="00FE2C99">
            <w:pPr>
              <w:jc w:val="center"/>
              <w:rPr>
                <w:rFonts w:cs="Arial"/>
                <w:color w:val="FF0000"/>
                <w:sz w:val="18"/>
                <w:szCs w:val="18"/>
              </w:rPr>
            </w:pPr>
            <w:r w:rsidRPr="00821FC4">
              <w:rPr>
                <w:color w:val="000000" w:themeColor="text1"/>
                <w:sz w:val="18"/>
                <w:szCs w:val="18"/>
              </w:rPr>
              <w:t>(Dec18)</w:t>
            </w:r>
          </w:p>
        </w:tc>
      </w:tr>
    </w:tbl>
    <w:p w14:paraId="5ED8EC05" w14:textId="77777777" w:rsidR="00236299" w:rsidRDefault="00236299" w:rsidP="0091013D">
      <w:pPr>
        <w:pStyle w:val="NoSpacing"/>
        <w:rPr>
          <w:rFonts w:ascii="Arial" w:eastAsiaTheme="minorHAnsi" w:hAnsi="Arial" w:cs="Arial"/>
          <w:i/>
          <w:color w:val="000000" w:themeColor="text1"/>
          <w:sz w:val="24"/>
          <w:szCs w:val="24"/>
          <w:lang w:eastAsia="en-US"/>
        </w:rPr>
      </w:pPr>
    </w:p>
    <w:p w14:paraId="63A8987A" w14:textId="77777777" w:rsidR="0091013D" w:rsidRPr="002321A1" w:rsidRDefault="0091013D" w:rsidP="0091013D">
      <w:pPr>
        <w:pStyle w:val="NoSpacing"/>
        <w:rPr>
          <w:rFonts w:ascii="Arial" w:eastAsiaTheme="minorHAnsi" w:hAnsi="Arial" w:cs="Arial"/>
          <w:i/>
          <w:color w:val="000000" w:themeColor="text1"/>
          <w:sz w:val="24"/>
          <w:szCs w:val="24"/>
          <w:lang w:eastAsia="en-US"/>
        </w:rPr>
      </w:pPr>
      <w:r w:rsidRPr="002321A1">
        <w:rPr>
          <w:rFonts w:ascii="Arial" w:eastAsiaTheme="minorHAnsi" w:hAnsi="Arial" w:cs="Arial"/>
          <w:i/>
          <w:color w:val="000000" w:themeColor="text1"/>
          <w:sz w:val="24"/>
          <w:szCs w:val="24"/>
          <w:lang w:eastAsia="en-US"/>
        </w:rPr>
        <w:t xml:space="preserve">School Improvement </w:t>
      </w:r>
    </w:p>
    <w:p w14:paraId="37166543" w14:textId="1FD5DFFB" w:rsidR="0091013D" w:rsidRPr="00FB54DD" w:rsidRDefault="0091013D" w:rsidP="0091013D">
      <w:pPr>
        <w:pStyle w:val="NoSpacing"/>
        <w:jc w:val="both"/>
        <w:rPr>
          <w:rFonts w:ascii="Arial" w:eastAsiaTheme="minorHAnsi" w:hAnsi="Arial" w:cs="Arial"/>
          <w:color w:val="FF0000"/>
          <w:sz w:val="24"/>
          <w:szCs w:val="24"/>
          <w:lang w:eastAsia="en-US"/>
        </w:rPr>
      </w:pPr>
      <w:r w:rsidRPr="00321C53">
        <w:rPr>
          <w:rFonts w:ascii="Arial" w:eastAsiaTheme="minorHAnsi" w:hAnsi="Arial" w:cs="Arial"/>
          <w:color w:val="000000" w:themeColor="text1"/>
          <w:sz w:val="24"/>
          <w:szCs w:val="24"/>
          <w:lang w:eastAsia="en-US"/>
        </w:rPr>
        <w:t xml:space="preserve">Revised data published by the </w:t>
      </w:r>
      <w:r w:rsidR="00C74844">
        <w:rPr>
          <w:rFonts w:ascii="Arial" w:eastAsiaTheme="minorHAnsi" w:hAnsi="Arial" w:cs="Arial"/>
          <w:color w:val="000000" w:themeColor="text1"/>
          <w:sz w:val="24"/>
          <w:szCs w:val="24"/>
          <w:lang w:eastAsia="en-US"/>
        </w:rPr>
        <w:t>Department for Education</w:t>
      </w:r>
      <w:r w:rsidR="00B41446">
        <w:rPr>
          <w:rFonts w:ascii="Arial" w:eastAsiaTheme="minorHAnsi" w:hAnsi="Arial" w:cs="Arial"/>
          <w:color w:val="000000" w:themeColor="text1"/>
          <w:sz w:val="24"/>
          <w:szCs w:val="24"/>
          <w:lang w:eastAsia="en-US"/>
        </w:rPr>
        <w:t xml:space="preserve"> </w:t>
      </w:r>
      <w:r w:rsidRPr="00321C53">
        <w:rPr>
          <w:rFonts w:ascii="Arial" w:eastAsiaTheme="minorHAnsi" w:hAnsi="Arial" w:cs="Arial"/>
          <w:color w:val="000000" w:themeColor="text1"/>
          <w:sz w:val="24"/>
          <w:szCs w:val="24"/>
          <w:lang w:eastAsia="en-US"/>
        </w:rPr>
        <w:t xml:space="preserve">for 2017/18 shows an improvement in the proportion of pupils reaching the expected standard in reading, writing and mathematics by the end of primary school (Key Stage 2). </w:t>
      </w:r>
      <w:r>
        <w:rPr>
          <w:rFonts w:ascii="Arial" w:eastAsiaTheme="minorHAnsi" w:hAnsi="Arial" w:cs="Arial"/>
          <w:color w:val="FF0000"/>
          <w:sz w:val="24"/>
          <w:szCs w:val="24"/>
          <w:lang w:eastAsia="en-US"/>
        </w:rPr>
        <w:t xml:space="preserve"> </w:t>
      </w:r>
      <w:r w:rsidRPr="00821FC4">
        <w:rPr>
          <w:rFonts w:ascii="Arial" w:eastAsiaTheme="minorHAnsi" w:hAnsi="Arial" w:cs="Arial"/>
          <w:color w:val="000000" w:themeColor="text1"/>
          <w:sz w:val="24"/>
          <w:szCs w:val="24"/>
          <w:lang w:eastAsia="en-US"/>
        </w:rPr>
        <w:t xml:space="preserve">At </w:t>
      </w:r>
      <w:r>
        <w:rPr>
          <w:rFonts w:ascii="Arial" w:eastAsiaTheme="minorHAnsi" w:hAnsi="Arial" w:cs="Arial"/>
          <w:color w:val="000000" w:themeColor="text1"/>
          <w:sz w:val="24"/>
          <w:szCs w:val="24"/>
          <w:lang w:eastAsia="en-US"/>
        </w:rPr>
        <w:t>Key Stage 4</w:t>
      </w:r>
      <w:r w:rsidRPr="00821FC4">
        <w:rPr>
          <w:rFonts w:ascii="Arial" w:eastAsiaTheme="minorHAnsi" w:hAnsi="Arial" w:cs="Arial"/>
          <w:color w:val="000000" w:themeColor="text1"/>
          <w:sz w:val="24"/>
          <w:szCs w:val="24"/>
          <w:lang w:eastAsia="en-US"/>
        </w:rPr>
        <w:t xml:space="preserve"> level</w:t>
      </w:r>
      <w:r>
        <w:rPr>
          <w:rFonts w:ascii="Arial" w:eastAsiaTheme="minorHAnsi" w:hAnsi="Arial" w:cs="Arial"/>
          <w:color w:val="000000" w:themeColor="text1"/>
          <w:sz w:val="24"/>
          <w:szCs w:val="24"/>
          <w:lang w:eastAsia="en-US"/>
        </w:rPr>
        <w:t>,</w:t>
      </w:r>
      <w:r w:rsidRPr="00821FC4">
        <w:rPr>
          <w:rFonts w:ascii="Arial" w:eastAsiaTheme="minorHAnsi" w:hAnsi="Arial" w:cs="Arial"/>
          <w:color w:val="000000" w:themeColor="text1"/>
          <w:sz w:val="24"/>
          <w:szCs w:val="24"/>
          <w:lang w:eastAsia="en-US"/>
        </w:rPr>
        <w:t xml:space="preserve"> the average Attainment 8 score per pupil for Lancashire (46.7) was similar to the national (46.6), regional (45.7) and statistical neighbours (46.3) averages. </w:t>
      </w:r>
      <w:r>
        <w:rPr>
          <w:rFonts w:ascii="Arial" w:eastAsiaTheme="minorHAnsi" w:hAnsi="Arial" w:cs="Arial"/>
          <w:color w:val="000000" w:themeColor="text1"/>
          <w:sz w:val="24"/>
          <w:szCs w:val="24"/>
          <w:lang w:eastAsia="en-US"/>
        </w:rPr>
        <w:t xml:space="preserve"> </w:t>
      </w:r>
      <w:r w:rsidRPr="00821FC4">
        <w:rPr>
          <w:rFonts w:ascii="Arial" w:eastAsiaTheme="minorHAnsi" w:hAnsi="Arial" w:cs="Arial"/>
          <w:color w:val="000000" w:themeColor="text1"/>
          <w:sz w:val="24"/>
          <w:szCs w:val="24"/>
          <w:lang w:eastAsia="en-US"/>
        </w:rPr>
        <w:t xml:space="preserve">Lancashire performance had improved on the previous year (45.7). </w:t>
      </w:r>
      <w:r>
        <w:rPr>
          <w:rFonts w:ascii="Arial" w:eastAsiaTheme="minorHAnsi" w:hAnsi="Arial" w:cs="Arial"/>
          <w:color w:val="000000" w:themeColor="text1"/>
          <w:sz w:val="24"/>
          <w:szCs w:val="24"/>
          <w:lang w:eastAsia="en-US"/>
        </w:rPr>
        <w:t xml:space="preserve"> </w:t>
      </w:r>
      <w:r w:rsidRPr="00821FC4">
        <w:rPr>
          <w:rFonts w:ascii="Arial" w:eastAsiaTheme="minorHAnsi" w:hAnsi="Arial" w:cs="Arial"/>
          <w:color w:val="000000" w:themeColor="text1"/>
          <w:sz w:val="24"/>
          <w:szCs w:val="24"/>
          <w:lang w:eastAsia="en-US"/>
        </w:rPr>
        <w:t>The average Progress 8 score (</w:t>
      </w:r>
      <w:r w:rsidRPr="00821FC4">
        <w:rPr>
          <w:rFonts w:ascii="Arial" w:hAnsi="Arial" w:cs="Arial"/>
          <w:color w:val="000000" w:themeColor="text1"/>
          <w:sz w:val="24"/>
          <w:szCs w:val="24"/>
        </w:rPr>
        <w:t>progress a pupil makes from the end of key stage 2 to the end of key stage 4</w:t>
      </w:r>
      <w:r w:rsidRPr="00821FC4">
        <w:rPr>
          <w:rFonts w:ascii="Arial" w:eastAsiaTheme="minorHAnsi" w:hAnsi="Arial" w:cs="Arial"/>
          <w:color w:val="000000" w:themeColor="text1"/>
          <w:sz w:val="24"/>
          <w:szCs w:val="24"/>
          <w:lang w:eastAsia="en-US"/>
        </w:rPr>
        <w:t>) for Lancashire (-0.09) also improved</w:t>
      </w:r>
      <w:r>
        <w:rPr>
          <w:rFonts w:ascii="Arial" w:eastAsiaTheme="minorHAnsi" w:hAnsi="Arial" w:cs="Arial"/>
          <w:color w:val="000000" w:themeColor="text1"/>
          <w:sz w:val="24"/>
          <w:szCs w:val="24"/>
          <w:lang w:eastAsia="en-US"/>
        </w:rPr>
        <w:t>.  It</w:t>
      </w:r>
      <w:r w:rsidRPr="00821FC4">
        <w:rPr>
          <w:rFonts w:ascii="Arial" w:eastAsiaTheme="minorHAnsi" w:hAnsi="Arial" w:cs="Arial"/>
          <w:color w:val="000000" w:themeColor="text1"/>
          <w:sz w:val="24"/>
          <w:szCs w:val="24"/>
          <w:lang w:eastAsia="en-US"/>
        </w:rPr>
        <w:t xml:space="preserve"> was lower</w:t>
      </w:r>
      <w:r>
        <w:rPr>
          <w:rFonts w:ascii="Arial" w:eastAsiaTheme="minorHAnsi" w:hAnsi="Arial" w:cs="Arial"/>
          <w:color w:val="000000" w:themeColor="text1"/>
          <w:sz w:val="24"/>
          <w:szCs w:val="24"/>
          <w:lang w:eastAsia="en-US"/>
        </w:rPr>
        <w:t xml:space="preserve"> than</w:t>
      </w:r>
      <w:r w:rsidRPr="00821FC4">
        <w:rPr>
          <w:rFonts w:ascii="Arial" w:eastAsiaTheme="minorHAnsi" w:hAnsi="Arial" w:cs="Arial"/>
          <w:color w:val="000000" w:themeColor="text1"/>
          <w:sz w:val="24"/>
          <w:szCs w:val="24"/>
          <w:lang w:eastAsia="en-US"/>
        </w:rPr>
        <w:t xml:space="preserve"> the national rate (-0.02)</w:t>
      </w:r>
      <w:r>
        <w:rPr>
          <w:rFonts w:ascii="Arial" w:eastAsiaTheme="minorHAnsi" w:hAnsi="Arial" w:cs="Arial"/>
          <w:color w:val="000000" w:themeColor="text1"/>
          <w:sz w:val="24"/>
          <w:szCs w:val="24"/>
          <w:lang w:eastAsia="en-US"/>
        </w:rPr>
        <w:t>,</w:t>
      </w:r>
      <w:r w:rsidRPr="00821FC4">
        <w:rPr>
          <w:rFonts w:ascii="Arial" w:eastAsiaTheme="minorHAnsi" w:hAnsi="Arial" w:cs="Arial"/>
          <w:color w:val="000000" w:themeColor="text1"/>
          <w:sz w:val="24"/>
          <w:szCs w:val="24"/>
          <w:lang w:eastAsia="en-US"/>
        </w:rPr>
        <w:t xml:space="preserve"> </w:t>
      </w:r>
      <w:r>
        <w:rPr>
          <w:rFonts w:ascii="Arial" w:eastAsiaTheme="minorHAnsi" w:hAnsi="Arial" w:cs="Arial"/>
          <w:color w:val="000000" w:themeColor="text1"/>
          <w:sz w:val="24"/>
          <w:szCs w:val="24"/>
          <w:lang w:eastAsia="en-US"/>
        </w:rPr>
        <w:t>however</w:t>
      </w:r>
      <w:r w:rsidRPr="00821FC4">
        <w:rPr>
          <w:rFonts w:ascii="Arial" w:eastAsiaTheme="minorHAnsi" w:hAnsi="Arial" w:cs="Arial"/>
          <w:color w:val="000000" w:themeColor="text1"/>
          <w:sz w:val="24"/>
          <w:szCs w:val="24"/>
          <w:lang w:eastAsia="en-US"/>
        </w:rPr>
        <w:t xml:space="preserve"> better than the regional (-0.16) and statistical neighbours average (-0.10) rates.</w:t>
      </w:r>
    </w:p>
    <w:p w14:paraId="71378837" w14:textId="77777777" w:rsidR="00C55A31" w:rsidRDefault="00C55A31" w:rsidP="00026433">
      <w:pPr>
        <w:rPr>
          <w:b/>
        </w:rPr>
      </w:pPr>
    </w:p>
    <w:p w14:paraId="715814FB" w14:textId="77777777" w:rsidR="00437B6A" w:rsidRPr="00AC10EE" w:rsidRDefault="00564A70" w:rsidP="00026433">
      <w:pPr>
        <w:rPr>
          <w:b/>
        </w:rPr>
      </w:pPr>
      <w:r>
        <w:rPr>
          <w:b/>
        </w:rPr>
        <w:t xml:space="preserve">Growth, Environment, </w:t>
      </w:r>
      <w:r w:rsidR="00D863ED">
        <w:rPr>
          <w:b/>
        </w:rPr>
        <w:t xml:space="preserve">Transport </w:t>
      </w:r>
      <w:r w:rsidR="00AD58A2" w:rsidRPr="00AC10EE">
        <w:rPr>
          <w:b/>
        </w:rPr>
        <w:t>and Community Services</w:t>
      </w:r>
      <w:r w:rsidR="00A0374B" w:rsidRPr="00AC10EE">
        <w:rPr>
          <w:b/>
        </w:rPr>
        <w:t xml:space="preserve"> </w:t>
      </w:r>
    </w:p>
    <w:p w14:paraId="5B29C25D" w14:textId="77777777" w:rsidR="00A0374B" w:rsidRPr="00E77EBA" w:rsidRDefault="00A0374B" w:rsidP="00026433">
      <w:pPr>
        <w:rPr>
          <w:b/>
          <w:color w:val="0070C0"/>
        </w:rPr>
      </w:pPr>
    </w:p>
    <w:tbl>
      <w:tblPr>
        <w:tblW w:w="31670" w:type="dxa"/>
        <w:tblInd w:w="-10" w:type="dxa"/>
        <w:tblLayout w:type="fixed"/>
        <w:tblLook w:val="04A0" w:firstRow="1" w:lastRow="0" w:firstColumn="1" w:lastColumn="0" w:noHBand="0" w:noVBand="1"/>
      </w:tblPr>
      <w:tblGrid>
        <w:gridCol w:w="2651"/>
        <w:gridCol w:w="1177"/>
        <w:gridCol w:w="1150"/>
        <w:gridCol w:w="1102"/>
        <w:gridCol w:w="969"/>
        <w:gridCol w:w="978"/>
        <w:gridCol w:w="978"/>
        <w:gridCol w:w="4533"/>
        <w:gridCol w:w="4533"/>
        <w:gridCol w:w="4533"/>
        <w:gridCol w:w="4533"/>
        <w:gridCol w:w="4533"/>
      </w:tblGrid>
      <w:tr w:rsidR="00E558F5" w:rsidRPr="00DE1A08" w14:paraId="585B9160" w14:textId="77777777" w:rsidTr="00D33F60">
        <w:trPr>
          <w:gridAfter w:val="5"/>
          <w:wAfter w:w="22665" w:type="dxa"/>
          <w:trHeight w:val="616"/>
        </w:trPr>
        <w:tc>
          <w:tcPr>
            <w:tcW w:w="2651" w:type="dxa"/>
            <w:tcBorders>
              <w:top w:val="single" w:sz="4" w:space="0" w:color="auto"/>
              <w:left w:val="single" w:sz="8" w:space="0" w:color="auto"/>
              <w:bottom w:val="single" w:sz="8" w:space="0" w:color="auto"/>
              <w:right w:val="single" w:sz="8" w:space="0" w:color="auto"/>
            </w:tcBorders>
            <w:shd w:val="clear" w:color="000000" w:fill="F2F2F2"/>
            <w:vAlign w:val="center"/>
            <w:hideMark/>
          </w:tcPr>
          <w:p w14:paraId="6C125A40" w14:textId="77777777" w:rsidR="00E558F5" w:rsidRPr="00255174" w:rsidRDefault="00E558F5" w:rsidP="00255174">
            <w:pPr>
              <w:rPr>
                <w:rFonts w:cs="Arial"/>
                <w:b/>
                <w:bCs/>
                <w:color w:val="000000"/>
                <w:sz w:val="18"/>
                <w:szCs w:val="18"/>
              </w:rPr>
            </w:pPr>
            <w:r w:rsidRPr="00255174">
              <w:rPr>
                <w:rFonts w:cs="Arial"/>
                <w:b/>
                <w:bCs/>
                <w:color w:val="000000"/>
                <w:sz w:val="18"/>
                <w:szCs w:val="18"/>
              </w:rPr>
              <w:t>Performance Measure</w:t>
            </w:r>
            <w:r w:rsidRPr="00255174">
              <w:rPr>
                <w:rFonts w:ascii="Calibri" w:hAnsi="Calibri" w:cs="Arial"/>
                <w:color w:val="000000"/>
                <w:sz w:val="16"/>
                <w:szCs w:val="16"/>
              </w:rPr>
              <w:t> </w:t>
            </w:r>
          </w:p>
        </w:tc>
        <w:tc>
          <w:tcPr>
            <w:tcW w:w="1177" w:type="dxa"/>
            <w:tcBorders>
              <w:top w:val="single" w:sz="4" w:space="0" w:color="auto"/>
              <w:left w:val="nil"/>
              <w:bottom w:val="single" w:sz="8" w:space="0" w:color="auto"/>
              <w:right w:val="single" w:sz="8" w:space="0" w:color="auto"/>
            </w:tcBorders>
            <w:shd w:val="clear" w:color="000000" w:fill="F2F2F2"/>
            <w:vAlign w:val="center"/>
            <w:hideMark/>
          </w:tcPr>
          <w:p w14:paraId="171D3BBE" w14:textId="77777777" w:rsidR="00E558F5" w:rsidRPr="00255174" w:rsidRDefault="00E558F5" w:rsidP="00255174">
            <w:pPr>
              <w:jc w:val="center"/>
              <w:rPr>
                <w:rFonts w:cs="Arial"/>
                <w:b/>
                <w:bCs/>
                <w:color w:val="000000"/>
                <w:sz w:val="18"/>
                <w:szCs w:val="18"/>
              </w:rPr>
            </w:pPr>
            <w:r w:rsidRPr="00255174">
              <w:rPr>
                <w:rFonts w:cs="Arial"/>
                <w:b/>
                <w:bCs/>
                <w:color w:val="000000"/>
                <w:sz w:val="18"/>
                <w:szCs w:val="18"/>
              </w:rPr>
              <w:t>Good is High or Low</w:t>
            </w:r>
          </w:p>
        </w:tc>
        <w:tc>
          <w:tcPr>
            <w:tcW w:w="1150" w:type="dxa"/>
            <w:tcBorders>
              <w:top w:val="single" w:sz="4" w:space="0" w:color="auto"/>
              <w:left w:val="nil"/>
              <w:bottom w:val="single" w:sz="8" w:space="0" w:color="auto"/>
              <w:right w:val="single" w:sz="8" w:space="0" w:color="auto"/>
            </w:tcBorders>
            <w:shd w:val="clear" w:color="000000" w:fill="F2F2F2"/>
            <w:vAlign w:val="center"/>
            <w:hideMark/>
          </w:tcPr>
          <w:p w14:paraId="5789B07A" w14:textId="77777777" w:rsidR="00E558F5" w:rsidRPr="00E558F5" w:rsidRDefault="00E558F5" w:rsidP="00255174">
            <w:pPr>
              <w:jc w:val="center"/>
              <w:rPr>
                <w:rFonts w:cs="Arial"/>
                <w:b/>
                <w:bCs/>
                <w:sz w:val="18"/>
                <w:szCs w:val="18"/>
              </w:rPr>
            </w:pPr>
            <w:r w:rsidRPr="00E558F5">
              <w:rPr>
                <w:rFonts w:cs="Arial"/>
                <w:b/>
                <w:bCs/>
                <w:sz w:val="18"/>
                <w:szCs w:val="18"/>
              </w:rPr>
              <w:t>2016/17</w:t>
            </w:r>
          </w:p>
        </w:tc>
        <w:tc>
          <w:tcPr>
            <w:tcW w:w="1102" w:type="dxa"/>
            <w:tcBorders>
              <w:top w:val="single" w:sz="4" w:space="0" w:color="auto"/>
              <w:left w:val="nil"/>
              <w:bottom w:val="single" w:sz="8" w:space="0" w:color="auto"/>
              <w:right w:val="single" w:sz="8" w:space="0" w:color="auto"/>
            </w:tcBorders>
            <w:shd w:val="clear" w:color="000000" w:fill="F2F2F2"/>
            <w:vAlign w:val="center"/>
            <w:hideMark/>
          </w:tcPr>
          <w:p w14:paraId="58442AF6" w14:textId="77777777" w:rsidR="00E558F5" w:rsidRPr="00255174" w:rsidRDefault="00E558F5" w:rsidP="00255174">
            <w:pPr>
              <w:jc w:val="center"/>
              <w:rPr>
                <w:rFonts w:cs="Arial"/>
                <w:b/>
                <w:bCs/>
                <w:color w:val="000000"/>
                <w:sz w:val="18"/>
                <w:szCs w:val="18"/>
              </w:rPr>
            </w:pPr>
            <w:r w:rsidRPr="00255174">
              <w:rPr>
                <w:rFonts w:cs="Arial"/>
                <w:b/>
                <w:bCs/>
                <w:color w:val="000000"/>
                <w:sz w:val="18"/>
                <w:szCs w:val="18"/>
              </w:rPr>
              <w:t>2017/18</w:t>
            </w:r>
          </w:p>
        </w:tc>
        <w:tc>
          <w:tcPr>
            <w:tcW w:w="969" w:type="dxa"/>
            <w:tcBorders>
              <w:top w:val="single" w:sz="4" w:space="0" w:color="auto"/>
              <w:left w:val="nil"/>
              <w:bottom w:val="single" w:sz="8" w:space="0" w:color="auto"/>
              <w:right w:val="single" w:sz="8" w:space="0" w:color="auto"/>
            </w:tcBorders>
            <w:shd w:val="clear" w:color="000000" w:fill="F2F2F2"/>
            <w:vAlign w:val="center"/>
            <w:hideMark/>
          </w:tcPr>
          <w:p w14:paraId="4A30F5C2" w14:textId="77777777" w:rsidR="00E558F5" w:rsidRDefault="00E558F5" w:rsidP="00255174">
            <w:pPr>
              <w:jc w:val="center"/>
              <w:rPr>
                <w:rFonts w:cs="Arial"/>
                <w:b/>
                <w:bCs/>
                <w:color w:val="000000"/>
                <w:sz w:val="18"/>
                <w:szCs w:val="18"/>
              </w:rPr>
            </w:pPr>
            <w:r w:rsidRPr="00255174">
              <w:rPr>
                <w:rFonts w:cs="Arial"/>
                <w:b/>
                <w:bCs/>
                <w:color w:val="000000"/>
                <w:sz w:val="18"/>
                <w:szCs w:val="18"/>
              </w:rPr>
              <w:t xml:space="preserve">Q1 </w:t>
            </w:r>
          </w:p>
          <w:p w14:paraId="5350FDE0" w14:textId="77777777" w:rsidR="00E558F5" w:rsidRPr="00255174" w:rsidRDefault="00E558F5" w:rsidP="00255174">
            <w:pPr>
              <w:jc w:val="center"/>
              <w:rPr>
                <w:rFonts w:cs="Arial"/>
                <w:b/>
                <w:bCs/>
                <w:color w:val="000000"/>
                <w:sz w:val="18"/>
                <w:szCs w:val="18"/>
              </w:rPr>
            </w:pPr>
            <w:r w:rsidRPr="00255174">
              <w:rPr>
                <w:rFonts w:cs="Arial"/>
                <w:b/>
                <w:bCs/>
                <w:color w:val="000000"/>
                <w:sz w:val="18"/>
                <w:szCs w:val="18"/>
              </w:rPr>
              <w:t>2018/19</w:t>
            </w:r>
          </w:p>
        </w:tc>
        <w:tc>
          <w:tcPr>
            <w:tcW w:w="978" w:type="dxa"/>
            <w:tcBorders>
              <w:top w:val="single" w:sz="4" w:space="0" w:color="auto"/>
              <w:left w:val="nil"/>
              <w:bottom w:val="single" w:sz="8" w:space="0" w:color="auto"/>
              <w:right w:val="single" w:sz="8" w:space="0" w:color="auto"/>
            </w:tcBorders>
            <w:shd w:val="clear" w:color="000000" w:fill="F2F2F2"/>
            <w:vAlign w:val="center"/>
          </w:tcPr>
          <w:p w14:paraId="65285184" w14:textId="77777777" w:rsidR="00E558F5" w:rsidRPr="00DE1A08" w:rsidRDefault="00E558F5" w:rsidP="0092252D">
            <w:pPr>
              <w:jc w:val="center"/>
              <w:rPr>
                <w:rFonts w:cs="Arial"/>
                <w:b/>
                <w:bCs/>
                <w:sz w:val="18"/>
                <w:szCs w:val="18"/>
              </w:rPr>
            </w:pPr>
            <w:r w:rsidRPr="00DE1A08">
              <w:rPr>
                <w:rFonts w:cs="Arial"/>
                <w:b/>
                <w:bCs/>
                <w:sz w:val="18"/>
                <w:szCs w:val="18"/>
              </w:rPr>
              <w:t>Q2</w:t>
            </w:r>
          </w:p>
          <w:p w14:paraId="56CC184F" w14:textId="77777777" w:rsidR="00E558F5" w:rsidRPr="00DE1A08" w:rsidRDefault="00E558F5" w:rsidP="0092252D">
            <w:pPr>
              <w:jc w:val="center"/>
              <w:rPr>
                <w:rFonts w:cs="Arial"/>
                <w:b/>
                <w:bCs/>
                <w:sz w:val="18"/>
                <w:szCs w:val="18"/>
              </w:rPr>
            </w:pPr>
            <w:r w:rsidRPr="00DE1A08">
              <w:rPr>
                <w:rFonts w:cs="Arial"/>
                <w:b/>
                <w:bCs/>
                <w:sz w:val="18"/>
                <w:szCs w:val="18"/>
              </w:rPr>
              <w:t>2018/19</w:t>
            </w:r>
          </w:p>
        </w:tc>
        <w:tc>
          <w:tcPr>
            <w:tcW w:w="978" w:type="dxa"/>
            <w:tcBorders>
              <w:top w:val="single" w:sz="4" w:space="0" w:color="auto"/>
              <w:left w:val="nil"/>
              <w:bottom w:val="single" w:sz="8" w:space="0" w:color="auto"/>
              <w:right w:val="single" w:sz="8" w:space="0" w:color="auto"/>
            </w:tcBorders>
            <w:shd w:val="clear" w:color="000000" w:fill="F2F2F2"/>
            <w:vAlign w:val="center"/>
          </w:tcPr>
          <w:p w14:paraId="6ECD62FE" w14:textId="77777777" w:rsidR="00E558F5" w:rsidRPr="00DE1A08" w:rsidRDefault="00E558F5" w:rsidP="00E558F5">
            <w:pPr>
              <w:jc w:val="center"/>
              <w:rPr>
                <w:rFonts w:cs="Arial"/>
                <w:b/>
                <w:bCs/>
                <w:sz w:val="18"/>
                <w:szCs w:val="18"/>
              </w:rPr>
            </w:pPr>
            <w:r w:rsidRPr="00552607">
              <w:rPr>
                <w:rFonts w:cs="Arial"/>
                <w:b/>
                <w:bCs/>
                <w:sz w:val="18"/>
                <w:szCs w:val="18"/>
              </w:rPr>
              <w:t>Q3 2018/19</w:t>
            </w:r>
          </w:p>
        </w:tc>
      </w:tr>
      <w:tr w:rsidR="00D54746" w:rsidRPr="00255174" w14:paraId="5E694F1F" w14:textId="77777777" w:rsidTr="00DC29D7">
        <w:trPr>
          <w:gridAfter w:val="5"/>
          <w:wAfter w:w="22665" w:type="dxa"/>
          <w:trHeight w:val="60"/>
        </w:trPr>
        <w:tc>
          <w:tcPr>
            <w:tcW w:w="9005"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14:paraId="03A7FB88" w14:textId="77777777" w:rsidR="00D54746" w:rsidRPr="00255174" w:rsidRDefault="00D54746" w:rsidP="00D54746">
            <w:pPr>
              <w:rPr>
                <w:rFonts w:cs="Arial"/>
                <w:b/>
                <w:bCs/>
                <w:color w:val="000000"/>
                <w:sz w:val="18"/>
                <w:szCs w:val="18"/>
              </w:rPr>
            </w:pPr>
            <w:r>
              <w:rPr>
                <w:rFonts w:cs="Arial"/>
                <w:b/>
                <w:bCs/>
                <w:sz w:val="18"/>
                <w:szCs w:val="18"/>
              </w:rPr>
              <w:t>H</w:t>
            </w:r>
            <w:r w:rsidRPr="00E558F5">
              <w:rPr>
                <w:rFonts w:cs="Arial"/>
                <w:b/>
                <w:bCs/>
                <w:sz w:val="18"/>
                <w:szCs w:val="18"/>
              </w:rPr>
              <w:t>ighways</w:t>
            </w:r>
          </w:p>
        </w:tc>
      </w:tr>
      <w:tr w:rsidR="00B41EDF" w:rsidRPr="00255174" w14:paraId="5D85CB3B" w14:textId="77777777" w:rsidTr="00494E88">
        <w:trPr>
          <w:gridAfter w:val="5"/>
          <w:wAfter w:w="22665" w:type="dxa"/>
          <w:trHeight w:val="301"/>
        </w:trPr>
        <w:tc>
          <w:tcPr>
            <w:tcW w:w="2651" w:type="dxa"/>
            <w:tcBorders>
              <w:top w:val="single" w:sz="4" w:space="0" w:color="auto"/>
              <w:left w:val="single" w:sz="8" w:space="0" w:color="auto"/>
              <w:bottom w:val="single" w:sz="4" w:space="0" w:color="auto"/>
              <w:right w:val="single" w:sz="8" w:space="0" w:color="auto"/>
            </w:tcBorders>
            <w:shd w:val="clear" w:color="auto" w:fill="auto"/>
          </w:tcPr>
          <w:p w14:paraId="090D3361" w14:textId="77777777" w:rsidR="00B41EDF" w:rsidRPr="00B41EDF" w:rsidRDefault="00B41EDF" w:rsidP="00B41EDF">
            <w:pPr>
              <w:rPr>
                <w:rFonts w:cs="Arial"/>
                <w:sz w:val="18"/>
                <w:szCs w:val="18"/>
              </w:rPr>
            </w:pPr>
            <w:r w:rsidRPr="00B41EDF">
              <w:rPr>
                <w:rFonts w:cs="Arial"/>
                <w:sz w:val="18"/>
                <w:szCs w:val="18"/>
              </w:rPr>
              <w:t>Safety Carriageway Defects repaired within 4 hours (emergency)</w:t>
            </w:r>
            <w:r w:rsidR="00DC29D7">
              <w:rPr>
                <w:rFonts w:cs="Arial"/>
                <w:sz w:val="18"/>
                <w:szCs w:val="18"/>
              </w:rPr>
              <w:t xml:space="preserve"> </w:t>
            </w:r>
            <w:r w:rsidR="00DC29D7" w:rsidRPr="00235233">
              <w:rPr>
                <w:rFonts w:cs="Arial"/>
                <w:sz w:val="18"/>
                <w:szCs w:val="18"/>
              </w:rPr>
              <w:t>target 95%</w:t>
            </w:r>
          </w:p>
        </w:tc>
        <w:tc>
          <w:tcPr>
            <w:tcW w:w="1177" w:type="dxa"/>
            <w:tcBorders>
              <w:top w:val="single" w:sz="4" w:space="0" w:color="auto"/>
              <w:left w:val="nil"/>
              <w:bottom w:val="single" w:sz="4" w:space="0" w:color="auto"/>
              <w:right w:val="single" w:sz="8" w:space="0" w:color="auto"/>
            </w:tcBorders>
            <w:shd w:val="clear" w:color="auto" w:fill="auto"/>
            <w:vAlign w:val="center"/>
          </w:tcPr>
          <w:p w14:paraId="5A78BEEB" w14:textId="77777777" w:rsidR="00B41EDF" w:rsidRPr="00255174" w:rsidRDefault="00DC29D7" w:rsidP="00B41EDF">
            <w:pPr>
              <w:jc w:val="center"/>
              <w:rPr>
                <w:rFonts w:cs="Arial"/>
                <w:color w:val="000000"/>
                <w:sz w:val="18"/>
                <w:szCs w:val="18"/>
              </w:rPr>
            </w:pPr>
            <w:r>
              <w:rPr>
                <w:rFonts w:cs="Arial"/>
                <w:color w:val="000000"/>
                <w:sz w:val="18"/>
                <w:szCs w:val="18"/>
              </w:rPr>
              <w:t>H</w:t>
            </w:r>
          </w:p>
        </w:tc>
        <w:tc>
          <w:tcPr>
            <w:tcW w:w="1150" w:type="dxa"/>
            <w:tcBorders>
              <w:top w:val="single" w:sz="4" w:space="0" w:color="auto"/>
              <w:left w:val="nil"/>
              <w:bottom w:val="single" w:sz="4" w:space="0" w:color="auto"/>
              <w:right w:val="single" w:sz="8" w:space="0" w:color="auto"/>
            </w:tcBorders>
            <w:shd w:val="clear" w:color="auto" w:fill="auto"/>
            <w:vAlign w:val="center"/>
          </w:tcPr>
          <w:p w14:paraId="65411D6D" w14:textId="77777777" w:rsidR="00B41EDF" w:rsidRPr="00E558F5" w:rsidRDefault="00457420" w:rsidP="00B41EDF">
            <w:pPr>
              <w:jc w:val="center"/>
              <w:rPr>
                <w:rFonts w:cs="Arial"/>
                <w:sz w:val="18"/>
                <w:szCs w:val="18"/>
              </w:rPr>
            </w:pPr>
            <w:r>
              <w:rPr>
                <w:rFonts w:cs="Arial"/>
                <w:sz w:val="18"/>
                <w:szCs w:val="18"/>
              </w:rPr>
              <w:t>-</w:t>
            </w:r>
          </w:p>
        </w:tc>
        <w:tc>
          <w:tcPr>
            <w:tcW w:w="1102" w:type="dxa"/>
            <w:tcBorders>
              <w:top w:val="single" w:sz="4" w:space="0" w:color="auto"/>
              <w:left w:val="nil"/>
              <w:bottom w:val="single" w:sz="4" w:space="0" w:color="auto"/>
              <w:right w:val="single" w:sz="8" w:space="0" w:color="auto"/>
            </w:tcBorders>
            <w:vAlign w:val="center"/>
          </w:tcPr>
          <w:p w14:paraId="0E12D98F" w14:textId="77777777" w:rsidR="00B41EDF" w:rsidRPr="00255174" w:rsidRDefault="00457420" w:rsidP="00B41EDF">
            <w:pPr>
              <w:jc w:val="center"/>
              <w:rPr>
                <w:rFonts w:cs="Arial"/>
                <w:color w:val="000000"/>
                <w:sz w:val="18"/>
                <w:szCs w:val="18"/>
              </w:rPr>
            </w:pPr>
            <w:r>
              <w:rPr>
                <w:rFonts w:cs="Arial"/>
                <w:color w:val="000000"/>
                <w:sz w:val="18"/>
                <w:szCs w:val="18"/>
              </w:rPr>
              <w:t>-</w:t>
            </w:r>
          </w:p>
        </w:tc>
        <w:tc>
          <w:tcPr>
            <w:tcW w:w="969" w:type="dxa"/>
            <w:tcBorders>
              <w:top w:val="single" w:sz="4" w:space="0" w:color="auto"/>
              <w:left w:val="nil"/>
              <w:bottom w:val="single" w:sz="4" w:space="0" w:color="auto"/>
              <w:right w:val="single" w:sz="8" w:space="0" w:color="auto"/>
            </w:tcBorders>
            <w:shd w:val="clear" w:color="auto" w:fill="auto"/>
            <w:vAlign w:val="center"/>
          </w:tcPr>
          <w:p w14:paraId="0430F934" w14:textId="77777777" w:rsidR="00B41EDF" w:rsidRDefault="00457420" w:rsidP="00B41EDF">
            <w:pPr>
              <w:jc w:val="center"/>
              <w:rPr>
                <w:rFonts w:cs="Arial"/>
                <w:color w:val="000000"/>
                <w:sz w:val="18"/>
                <w:szCs w:val="18"/>
              </w:rPr>
            </w:pPr>
            <w:r>
              <w:rPr>
                <w:rFonts w:cs="Arial"/>
                <w:color w:val="000000"/>
                <w:sz w:val="18"/>
                <w:szCs w:val="18"/>
              </w:rPr>
              <w:t>-</w:t>
            </w:r>
          </w:p>
        </w:tc>
        <w:tc>
          <w:tcPr>
            <w:tcW w:w="978" w:type="dxa"/>
            <w:tcBorders>
              <w:top w:val="single" w:sz="4" w:space="0" w:color="auto"/>
              <w:left w:val="nil"/>
              <w:bottom w:val="single" w:sz="4" w:space="0" w:color="auto"/>
              <w:right w:val="single" w:sz="8" w:space="0" w:color="auto"/>
            </w:tcBorders>
            <w:vAlign w:val="center"/>
          </w:tcPr>
          <w:p w14:paraId="65D4E07C" w14:textId="77777777" w:rsidR="00B41EDF" w:rsidRPr="00F81D78" w:rsidRDefault="00457420" w:rsidP="00B41EDF">
            <w:pPr>
              <w:jc w:val="center"/>
              <w:rPr>
                <w:rFonts w:cs="Arial"/>
                <w:sz w:val="18"/>
                <w:szCs w:val="18"/>
              </w:rPr>
            </w:pPr>
            <w:r w:rsidRPr="00F81D78">
              <w:rPr>
                <w:rFonts w:cs="Arial"/>
                <w:sz w:val="18"/>
                <w:szCs w:val="18"/>
              </w:rPr>
              <w:t>-</w:t>
            </w:r>
          </w:p>
        </w:tc>
        <w:tc>
          <w:tcPr>
            <w:tcW w:w="978" w:type="dxa"/>
            <w:tcBorders>
              <w:top w:val="single" w:sz="4" w:space="0" w:color="auto"/>
              <w:left w:val="nil"/>
              <w:bottom w:val="single" w:sz="4" w:space="0" w:color="auto"/>
              <w:right w:val="single" w:sz="8" w:space="0" w:color="auto"/>
            </w:tcBorders>
            <w:shd w:val="clear" w:color="auto" w:fill="C5E0B3" w:themeFill="accent6" w:themeFillTint="66"/>
            <w:vAlign w:val="center"/>
          </w:tcPr>
          <w:p w14:paraId="32B4CF69" w14:textId="13DA3DFE" w:rsidR="00B41EDF" w:rsidRPr="00235233" w:rsidRDefault="00235233" w:rsidP="00B41EDF">
            <w:pPr>
              <w:jc w:val="center"/>
              <w:rPr>
                <w:rFonts w:cs="Arial"/>
                <w:sz w:val="18"/>
                <w:szCs w:val="18"/>
              </w:rPr>
            </w:pPr>
            <w:r w:rsidRPr="00235233">
              <w:rPr>
                <w:rFonts w:cs="Arial"/>
                <w:sz w:val="18"/>
                <w:szCs w:val="18"/>
              </w:rPr>
              <w:t>95.2%</w:t>
            </w:r>
          </w:p>
        </w:tc>
      </w:tr>
      <w:tr w:rsidR="00B41EDF" w:rsidRPr="00255174" w14:paraId="27A7FBC0" w14:textId="77777777" w:rsidTr="00494E88">
        <w:trPr>
          <w:gridAfter w:val="5"/>
          <w:wAfter w:w="22665" w:type="dxa"/>
          <w:trHeight w:val="301"/>
        </w:trPr>
        <w:tc>
          <w:tcPr>
            <w:tcW w:w="2651" w:type="dxa"/>
            <w:tcBorders>
              <w:top w:val="single" w:sz="4" w:space="0" w:color="auto"/>
              <w:left w:val="single" w:sz="8" w:space="0" w:color="auto"/>
              <w:bottom w:val="single" w:sz="4" w:space="0" w:color="auto"/>
              <w:right w:val="single" w:sz="8" w:space="0" w:color="auto"/>
            </w:tcBorders>
            <w:shd w:val="clear" w:color="auto" w:fill="auto"/>
          </w:tcPr>
          <w:p w14:paraId="70D27956" w14:textId="77777777" w:rsidR="00B41EDF" w:rsidRPr="00235233" w:rsidRDefault="00B41EDF" w:rsidP="00B41EDF">
            <w:pPr>
              <w:rPr>
                <w:rFonts w:cs="Arial"/>
                <w:sz w:val="18"/>
                <w:szCs w:val="18"/>
              </w:rPr>
            </w:pPr>
            <w:r w:rsidRPr="00235233">
              <w:rPr>
                <w:rFonts w:cs="Arial"/>
                <w:sz w:val="18"/>
                <w:szCs w:val="18"/>
              </w:rPr>
              <w:t>Safety Carriageway Defects repaired within 2 working days (urgent)</w:t>
            </w:r>
            <w:r w:rsidR="00DC29D7" w:rsidRPr="00235233">
              <w:rPr>
                <w:rFonts w:cs="Arial"/>
                <w:sz w:val="18"/>
                <w:szCs w:val="18"/>
              </w:rPr>
              <w:t xml:space="preserve"> target 95%</w:t>
            </w:r>
          </w:p>
        </w:tc>
        <w:tc>
          <w:tcPr>
            <w:tcW w:w="1177" w:type="dxa"/>
            <w:tcBorders>
              <w:top w:val="single" w:sz="4" w:space="0" w:color="auto"/>
              <w:left w:val="nil"/>
              <w:bottom w:val="single" w:sz="4" w:space="0" w:color="auto"/>
              <w:right w:val="single" w:sz="8" w:space="0" w:color="auto"/>
            </w:tcBorders>
            <w:shd w:val="clear" w:color="auto" w:fill="auto"/>
            <w:vAlign w:val="center"/>
          </w:tcPr>
          <w:p w14:paraId="5585CF74" w14:textId="77777777" w:rsidR="00B41EDF" w:rsidRPr="00255174" w:rsidRDefault="00DC29D7" w:rsidP="00B41EDF">
            <w:pPr>
              <w:jc w:val="center"/>
              <w:rPr>
                <w:rFonts w:cs="Arial"/>
                <w:color w:val="000000"/>
                <w:sz w:val="18"/>
                <w:szCs w:val="18"/>
              </w:rPr>
            </w:pPr>
            <w:r>
              <w:rPr>
                <w:rFonts w:cs="Arial"/>
                <w:color w:val="000000"/>
                <w:sz w:val="18"/>
                <w:szCs w:val="18"/>
              </w:rPr>
              <w:t>H</w:t>
            </w:r>
          </w:p>
        </w:tc>
        <w:tc>
          <w:tcPr>
            <w:tcW w:w="1150" w:type="dxa"/>
            <w:tcBorders>
              <w:top w:val="single" w:sz="4" w:space="0" w:color="auto"/>
              <w:left w:val="nil"/>
              <w:bottom w:val="single" w:sz="4" w:space="0" w:color="auto"/>
              <w:right w:val="single" w:sz="8" w:space="0" w:color="auto"/>
            </w:tcBorders>
            <w:shd w:val="clear" w:color="auto" w:fill="auto"/>
            <w:vAlign w:val="center"/>
          </w:tcPr>
          <w:p w14:paraId="09746EAF" w14:textId="77777777" w:rsidR="00B41EDF" w:rsidRPr="00E558F5" w:rsidRDefault="00457420" w:rsidP="00B41EDF">
            <w:pPr>
              <w:jc w:val="center"/>
              <w:rPr>
                <w:rFonts w:cs="Arial"/>
                <w:sz w:val="18"/>
                <w:szCs w:val="18"/>
              </w:rPr>
            </w:pPr>
            <w:r>
              <w:rPr>
                <w:rFonts w:cs="Arial"/>
                <w:sz w:val="18"/>
                <w:szCs w:val="18"/>
              </w:rPr>
              <w:t>-</w:t>
            </w:r>
          </w:p>
        </w:tc>
        <w:tc>
          <w:tcPr>
            <w:tcW w:w="1102" w:type="dxa"/>
            <w:tcBorders>
              <w:top w:val="single" w:sz="4" w:space="0" w:color="auto"/>
              <w:left w:val="nil"/>
              <w:bottom w:val="single" w:sz="4" w:space="0" w:color="auto"/>
              <w:right w:val="single" w:sz="8" w:space="0" w:color="auto"/>
            </w:tcBorders>
            <w:vAlign w:val="center"/>
          </w:tcPr>
          <w:p w14:paraId="52C6E55F" w14:textId="77777777" w:rsidR="00B41EDF" w:rsidRPr="00255174" w:rsidRDefault="00457420" w:rsidP="00B41EDF">
            <w:pPr>
              <w:jc w:val="center"/>
              <w:rPr>
                <w:rFonts w:cs="Arial"/>
                <w:color w:val="000000"/>
                <w:sz w:val="18"/>
                <w:szCs w:val="18"/>
              </w:rPr>
            </w:pPr>
            <w:r>
              <w:rPr>
                <w:rFonts w:cs="Arial"/>
                <w:color w:val="000000"/>
                <w:sz w:val="18"/>
                <w:szCs w:val="18"/>
              </w:rPr>
              <w:t>-</w:t>
            </w:r>
          </w:p>
        </w:tc>
        <w:tc>
          <w:tcPr>
            <w:tcW w:w="969" w:type="dxa"/>
            <w:tcBorders>
              <w:top w:val="single" w:sz="4" w:space="0" w:color="auto"/>
              <w:left w:val="nil"/>
              <w:bottom w:val="single" w:sz="4" w:space="0" w:color="auto"/>
              <w:right w:val="single" w:sz="8" w:space="0" w:color="auto"/>
            </w:tcBorders>
            <w:shd w:val="clear" w:color="auto" w:fill="auto"/>
            <w:vAlign w:val="center"/>
          </w:tcPr>
          <w:p w14:paraId="335A5763" w14:textId="77777777" w:rsidR="00B41EDF" w:rsidRDefault="00457420" w:rsidP="00B41EDF">
            <w:pPr>
              <w:jc w:val="center"/>
              <w:rPr>
                <w:rFonts w:cs="Arial"/>
                <w:color w:val="000000"/>
                <w:sz w:val="18"/>
                <w:szCs w:val="18"/>
              </w:rPr>
            </w:pPr>
            <w:r>
              <w:rPr>
                <w:rFonts w:cs="Arial"/>
                <w:color w:val="000000"/>
                <w:sz w:val="18"/>
                <w:szCs w:val="18"/>
              </w:rPr>
              <w:t>-</w:t>
            </w:r>
          </w:p>
        </w:tc>
        <w:tc>
          <w:tcPr>
            <w:tcW w:w="978" w:type="dxa"/>
            <w:tcBorders>
              <w:top w:val="single" w:sz="4" w:space="0" w:color="auto"/>
              <w:left w:val="nil"/>
              <w:bottom w:val="single" w:sz="4" w:space="0" w:color="auto"/>
              <w:right w:val="single" w:sz="8" w:space="0" w:color="auto"/>
            </w:tcBorders>
            <w:vAlign w:val="center"/>
          </w:tcPr>
          <w:p w14:paraId="2BD73DB1" w14:textId="77777777" w:rsidR="00B41EDF" w:rsidRPr="00F81D78" w:rsidRDefault="00457420" w:rsidP="00B41EDF">
            <w:pPr>
              <w:jc w:val="center"/>
              <w:rPr>
                <w:rFonts w:cs="Arial"/>
                <w:sz w:val="18"/>
                <w:szCs w:val="18"/>
              </w:rPr>
            </w:pPr>
            <w:r w:rsidRPr="00F81D78">
              <w:rPr>
                <w:rFonts w:cs="Arial"/>
                <w:sz w:val="18"/>
                <w:szCs w:val="18"/>
              </w:rPr>
              <w:t>-</w:t>
            </w:r>
          </w:p>
        </w:tc>
        <w:tc>
          <w:tcPr>
            <w:tcW w:w="978" w:type="dxa"/>
            <w:tcBorders>
              <w:top w:val="single" w:sz="4" w:space="0" w:color="auto"/>
              <w:left w:val="nil"/>
              <w:bottom w:val="single" w:sz="4" w:space="0" w:color="auto"/>
              <w:right w:val="single" w:sz="8" w:space="0" w:color="auto"/>
            </w:tcBorders>
            <w:shd w:val="clear" w:color="auto" w:fill="FF0000"/>
            <w:vAlign w:val="center"/>
          </w:tcPr>
          <w:p w14:paraId="7B668923" w14:textId="21E90BD0" w:rsidR="00B41EDF" w:rsidRPr="00235233" w:rsidRDefault="00235233" w:rsidP="00B41EDF">
            <w:pPr>
              <w:jc w:val="center"/>
              <w:rPr>
                <w:rFonts w:cs="Arial"/>
                <w:sz w:val="18"/>
                <w:szCs w:val="18"/>
              </w:rPr>
            </w:pPr>
            <w:r w:rsidRPr="00235233">
              <w:rPr>
                <w:rFonts w:cs="Arial"/>
                <w:sz w:val="18"/>
                <w:szCs w:val="18"/>
              </w:rPr>
              <w:t>87.2%</w:t>
            </w:r>
          </w:p>
        </w:tc>
      </w:tr>
      <w:tr w:rsidR="00B41EDF" w:rsidRPr="00255174" w14:paraId="3B148AEA" w14:textId="77777777" w:rsidTr="00494E88">
        <w:trPr>
          <w:gridAfter w:val="5"/>
          <w:wAfter w:w="22665" w:type="dxa"/>
          <w:trHeight w:val="301"/>
        </w:trPr>
        <w:tc>
          <w:tcPr>
            <w:tcW w:w="2651" w:type="dxa"/>
            <w:tcBorders>
              <w:top w:val="single" w:sz="4" w:space="0" w:color="auto"/>
              <w:left w:val="single" w:sz="8" w:space="0" w:color="auto"/>
              <w:bottom w:val="single" w:sz="4" w:space="0" w:color="auto"/>
              <w:right w:val="single" w:sz="8" w:space="0" w:color="auto"/>
            </w:tcBorders>
            <w:shd w:val="clear" w:color="auto" w:fill="auto"/>
          </w:tcPr>
          <w:p w14:paraId="7271CE49" w14:textId="1C57FA14" w:rsidR="00B41EDF" w:rsidRPr="00235233" w:rsidRDefault="00B41EDF" w:rsidP="00B41EDF">
            <w:pPr>
              <w:rPr>
                <w:rFonts w:cs="Arial"/>
                <w:sz w:val="18"/>
                <w:szCs w:val="18"/>
              </w:rPr>
            </w:pPr>
            <w:r w:rsidRPr="00235233">
              <w:rPr>
                <w:rFonts w:cs="Arial"/>
                <w:sz w:val="18"/>
                <w:szCs w:val="18"/>
              </w:rPr>
              <w:t>Safety Carriageway Defects repaired within 5 working days (non-urgent)</w:t>
            </w:r>
            <w:r w:rsidR="00DC29D7" w:rsidRPr="00235233">
              <w:rPr>
                <w:rFonts w:cs="Arial"/>
                <w:sz w:val="18"/>
                <w:szCs w:val="18"/>
              </w:rPr>
              <w:t xml:space="preserve"> target 9</w:t>
            </w:r>
            <w:r w:rsidR="00944BA5">
              <w:rPr>
                <w:rFonts w:cs="Arial"/>
                <w:sz w:val="18"/>
                <w:szCs w:val="18"/>
              </w:rPr>
              <w:t>0</w:t>
            </w:r>
            <w:r w:rsidR="00DC29D7" w:rsidRPr="00235233">
              <w:rPr>
                <w:rFonts w:cs="Arial"/>
                <w:sz w:val="18"/>
                <w:szCs w:val="18"/>
              </w:rPr>
              <w:t>%</w:t>
            </w:r>
          </w:p>
        </w:tc>
        <w:tc>
          <w:tcPr>
            <w:tcW w:w="1177" w:type="dxa"/>
            <w:tcBorders>
              <w:top w:val="single" w:sz="4" w:space="0" w:color="auto"/>
              <w:left w:val="nil"/>
              <w:bottom w:val="single" w:sz="4" w:space="0" w:color="auto"/>
              <w:right w:val="single" w:sz="8" w:space="0" w:color="auto"/>
            </w:tcBorders>
            <w:shd w:val="clear" w:color="auto" w:fill="auto"/>
            <w:vAlign w:val="center"/>
          </w:tcPr>
          <w:p w14:paraId="1303C90C" w14:textId="77777777" w:rsidR="00B41EDF" w:rsidRPr="00255174" w:rsidRDefault="00DC29D7" w:rsidP="00B41EDF">
            <w:pPr>
              <w:jc w:val="center"/>
              <w:rPr>
                <w:rFonts w:cs="Arial"/>
                <w:color w:val="000000"/>
                <w:sz w:val="18"/>
                <w:szCs w:val="18"/>
              </w:rPr>
            </w:pPr>
            <w:r>
              <w:rPr>
                <w:rFonts w:cs="Arial"/>
                <w:color w:val="000000"/>
                <w:sz w:val="18"/>
                <w:szCs w:val="18"/>
              </w:rPr>
              <w:t>H</w:t>
            </w:r>
          </w:p>
        </w:tc>
        <w:tc>
          <w:tcPr>
            <w:tcW w:w="1150" w:type="dxa"/>
            <w:tcBorders>
              <w:top w:val="single" w:sz="4" w:space="0" w:color="auto"/>
              <w:left w:val="nil"/>
              <w:bottom w:val="single" w:sz="4" w:space="0" w:color="auto"/>
              <w:right w:val="single" w:sz="8" w:space="0" w:color="auto"/>
            </w:tcBorders>
            <w:shd w:val="clear" w:color="auto" w:fill="auto"/>
            <w:vAlign w:val="center"/>
          </w:tcPr>
          <w:p w14:paraId="13449506" w14:textId="77777777" w:rsidR="00B41EDF" w:rsidRPr="00E558F5" w:rsidRDefault="00457420" w:rsidP="00B41EDF">
            <w:pPr>
              <w:jc w:val="center"/>
              <w:rPr>
                <w:rFonts w:cs="Arial"/>
                <w:sz w:val="18"/>
                <w:szCs w:val="18"/>
              </w:rPr>
            </w:pPr>
            <w:r>
              <w:rPr>
                <w:rFonts w:cs="Arial"/>
                <w:sz w:val="18"/>
                <w:szCs w:val="18"/>
              </w:rPr>
              <w:t>-</w:t>
            </w:r>
          </w:p>
        </w:tc>
        <w:tc>
          <w:tcPr>
            <w:tcW w:w="1102" w:type="dxa"/>
            <w:tcBorders>
              <w:top w:val="single" w:sz="4" w:space="0" w:color="auto"/>
              <w:left w:val="nil"/>
              <w:bottom w:val="single" w:sz="4" w:space="0" w:color="auto"/>
              <w:right w:val="single" w:sz="8" w:space="0" w:color="auto"/>
            </w:tcBorders>
            <w:vAlign w:val="center"/>
          </w:tcPr>
          <w:p w14:paraId="4915BB7B" w14:textId="77777777" w:rsidR="00B41EDF" w:rsidRPr="00255174" w:rsidRDefault="00457420" w:rsidP="00B41EDF">
            <w:pPr>
              <w:jc w:val="center"/>
              <w:rPr>
                <w:rFonts w:cs="Arial"/>
                <w:color w:val="000000"/>
                <w:sz w:val="18"/>
                <w:szCs w:val="18"/>
              </w:rPr>
            </w:pPr>
            <w:r>
              <w:rPr>
                <w:rFonts w:cs="Arial"/>
                <w:color w:val="000000"/>
                <w:sz w:val="18"/>
                <w:szCs w:val="18"/>
              </w:rPr>
              <w:t>-</w:t>
            </w:r>
          </w:p>
        </w:tc>
        <w:tc>
          <w:tcPr>
            <w:tcW w:w="969" w:type="dxa"/>
            <w:tcBorders>
              <w:top w:val="single" w:sz="4" w:space="0" w:color="auto"/>
              <w:left w:val="nil"/>
              <w:bottom w:val="single" w:sz="4" w:space="0" w:color="auto"/>
              <w:right w:val="single" w:sz="8" w:space="0" w:color="auto"/>
            </w:tcBorders>
            <w:shd w:val="clear" w:color="auto" w:fill="auto"/>
            <w:vAlign w:val="center"/>
          </w:tcPr>
          <w:p w14:paraId="61C62F47" w14:textId="77777777" w:rsidR="00B41EDF" w:rsidRDefault="00457420" w:rsidP="00B41EDF">
            <w:pPr>
              <w:jc w:val="center"/>
              <w:rPr>
                <w:rFonts w:cs="Arial"/>
                <w:color w:val="000000"/>
                <w:sz w:val="18"/>
                <w:szCs w:val="18"/>
              </w:rPr>
            </w:pPr>
            <w:r>
              <w:rPr>
                <w:rFonts w:cs="Arial"/>
                <w:color w:val="000000"/>
                <w:sz w:val="18"/>
                <w:szCs w:val="18"/>
              </w:rPr>
              <w:t>-</w:t>
            </w:r>
          </w:p>
        </w:tc>
        <w:tc>
          <w:tcPr>
            <w:tcW w:w="978" w:type="dxa"/>
            <w:tcBorders>
              <w:top w:val="single" w:sz="4" w:space="0" w:color="auto"/>
              <w:left w:val="nil"/>
              <w:bottom w:val="single" w:sz="4" w:space="0" w:color="auto"/>
              <w:right w:val="single" w:sz="8" w:space="0" w:color="auto"/>
            </w:tcBorders>
            <w:vAlign w:val="center"/>
          </w:tcPr>
          <w:p w14:paraId="0B10AF95" w14:textId="77777777" w:rsidR="00B41EDF" w:rsidRPr="00F81D78" w:rsidRDefault="00457420" w:rsidP="00B41EDF">
            <w:pPr>
              <w:jc w:val="center"/>
              <w:rPr>
                <w:rFonts w:cs="Arial"/>
                <w:sz w:val="18"/>
                <w:szCs w:val="18"/>
              </w:rPr>
            </w:pPr>
            <w:r w:rsidRPr="00F81D78">
              <w:rPr>
                <w:rFonts w:cs="Arial"/>
                <w:sz w:val="18"/>
                <w:szCs w:val="18"/>
              </w:rPr>
              <w:t>-</w:t>
            </w:r>
          </w:p>
        </w:tc>
        <w:tc>
          <w:tcPr>
            <w:tcW w:w="978" w:type="dxa"/>
            <w:tcBorders>
              <w:top w:val="single" w:sz="4" w:space="0" w:color="auto"/>
              <w:left w:val="nil"/>
              <w:bottom w:val="single" w:sz="4" w:space="0" w:color="auto"/>
              <w:right w:val="single" w:sz="8" w:space="0" w:color="auto"/>
            </w:tcBorders>
            <w:shd w:val="clear" w:color="auto" w:fill="FF0000"/>
            <w:vAlign w:val="center"/>
          </w:tcPr>
          <w:p w14:paraId="1A2C931D" w14:textId="0476E097" w:rsidR="00B41EDF" w:rsidRPr="00235233" w:rsidRDefault="00235233" w:rsidP="00B41EDF">
            <w:pPr>
              <w:jc w:val="center"/>
              <w:rPr>
                <w:rFonts w:cs="Arial"/>
                <w:sz w:val="18"/>
                <w:szCs w:val="18"/>
              </w:rPr>
            </w:pPr>
            <w:r w:rsidRPr="00235233">
              <w:rPr>
                <w:rFonts w:cs="Arial"/>
                <w:sz w:val="18"/>
                <w:szCs w:val="18"/>
              </w:rPr>
              <w:t>80.8%</w:t>
            </w:r>
          </w:p>
        </w:tc>
      </w:tr>
      <w:tr w:rsidR="00B41EDF" w:rsidRPr="00255174" w14:paraId="434B06A8" w14:textId="77777777" w:rsidTr="00494E88">
        <w:trPr>
          <w:gridAfter w:val="5"/>
          <w:wAfter w:w="22665" w:type="dxa"/>
          <w:trHeight w:val="301"/>
        </w:trPr>
        <w:tc>
          <w:tcPr>
            <w:tcW w:w="2651" w:type="dxa"/>
            <w:tcBorders>
              <w:top w:val="single" w:sz="4" w:space="0" w:color="auto"/>
              <w:left w:val="single" w:sz="8" w:space="0" w:color="auto"/>
              <w:bottom w:val="single" w:sz="8" w:space="0" w:color="auto"/>
              <w:right w:val="single" w:sz="8" w:space="0" w:color="auto"/>
            </w:tcBorders>
            <w:shd w:val="clear" w:color="auto" w:fill="auto"/>
            <w:vAlign w:val="center"/>
          </w:tcPr>
          <w:p w14:paraId="1E220282" w14:textId="76218B1B" w:rsidR="00B41EDF" w:rsidRPr="00235233" w:rsidRDefault="00B41EDF" w:rsidP="00B41EDF">
            <w:pPr>
              <w:rPr>
                <w:rFonts w:cs="Arial"/>
                <w:sz w:val="18"/>
                <w:szCs w:val="18"/>
              </w:rPr>
            </w:pPr>
            <w:r w:rsidRPr="00235233">
              <w:rPr>
                <w:rFonts w:cs="Arial"/>
                <w:sz w:val="18"/>
                <w:szCs w:val="18"/>
              </w:rPr>
              <w:t>Safety Carriageway Defects repaired within 20 working days (non-urgent)</w:t>
            </w:r>
            <w:r w:rsidR="00DC29D7" w:rsidRPr="00235233">
              <w:rPr>
                <w:rFonts w:cs="Arial"/>
                <w:sz w:val="18"/>
                <w:szCs w:val="18"/>
              </w:rPr>
              <w:t xml:space="preserve"> target 9</w:t>
            </w:r>
            <w:r w:rsidR="00944BA5">
              <w:rPr>
                <w:rFonts w:cs="Arial"/>
                <w:sz w:val="18"/>
                <w:szCs w:val="18"/>
              </w:rPr>
              <w:t>0</w:t>
            </w:r>
            <w:r w:rsidR="00DC29D7" w:rsidRPr="00235233">
              <w:rPr>
                <w:rFonts w:cs="Arial"/>
                <w:sz w:val="18"/>
                <w:szCs w:val="18"/>
              </w:rPr>
              <w:t>%</w:t>
            </w:r>
          </w:p>
        </w:tc>
        <w:tc>
          <w:tcPr>
            <w:tcW w:w="1177" w:type="dxa"/>
            <w:tcBorders>
              <w:top w:val="single" w:sz="4" w:space="0" w:color="auto"/>
              <w:left w:val="nil"/>
              <w:bottom w:val="single" w:sz="8" w:space="0" w:color="auto"/>
              <w:right w:val="single" w:sz="8" w:space="0" w:color="auto"/>
            </w:tcBorders>
            <w:shd w:val="clear" w:color="auto" w:fill="auto"/>
            <w:vAlign w:val="center"/>
          </w:tcPr>
          <w:p w14:paraId="19C7045A" w14:textId="77777777" w:rsidR="00B41EDF" w:rsidRPr="00255174" w:rsidRDefault="00B41EDF" w:rsidP="00B41EDF">
            <w:pPr>
              <w:jc w:val="center"/>
              <w:rPr>
                <w:rFonts w:cs="Arial"/>
                <w:color w:val="000000"/>
                <w:sz w:val="18"/>
                <w:szCs w:val="18"/>
              </w:rPr>
            </w:pPr>
            <w:r w:rsidRPr="00255174">
              <w:rPr>
                <w:rFonts w:cs="Arial"/>
                <w:color w:val="000000"/>
                <w:sz w:val="18"/>
                <w:szCs w:val="18"/>
              </w:rPr>
              <w:t>H</w:t>
            </w:r>
          </w:p>
        </w:tc>
        <w:tc>
          <w:tcPr>
            <w:tcW w:w="1150" w:type="dxa"/>
            <w:tcBorders>
              <w:top w:val="single" w:sz="4" w:space="0" w:color="auto"/>
              <w:left w:val="nil"/>
              <w:bottom w:val="single" w:sz="8" w:space="0" w:color="auto"/>
              <w:right w:val="single" w:sz="8" w:space="0" w:color="auto"/>
            </w:tcBorders>
            <w:shd w:val="clear" w:color="auto" w:fill="auto"/>
            <w:vAlign w:val="center"/>
          </w:tcPr>
          <w:p w14:paraId="02FEC358" w14:textId="77777777" w:rsidR="00B41EDF" w:rsidRPr="00E558F5" w:rsidRDefault="000870AC" w:rsidP="00B41EDF">
            <w:pPr>
              <w:jc w:val="center"/>
              <w:rPr>
                <w:rFonts w:cs="Arial"/>
                <w:sz w:val="18"/>
                <w:szCs w:val="18"/>
              </w:rPr>
            </w:pPr>
            <w:r>
              <w:rPr>
                <w:rFonts w:cs="Arial"/>
                <w:sz w:val="18"/>
                <w:szCs w:val="18"/>
              </w:rPr>
              <w:t>-</w:t>
            </w:r>
          </w:p>
        </w:tc>
        <w:tc>
          <w:tcPr>
            <w:tcW w:w="1102" w:type="dxa"/>
            <w:tcBorders>
              <w:top w:val="single" w:sz="4" w:space="0" w:color="auto"/>
              <w:left w:val="nil"/>
              <w:bottom w:val="single" w:sz="8" w:space="0" w:color="auto"/>
              <w:right w:val="single" w:sz="8" w:space="0" w:color="auto"/>
            </w:tcBorders>
            <w:shd w:val="clear" w:color="auto" w:fill="auto"/>
            <w:vAlign w:val="center"/>
          </w:tcPr>
          <w:p w14:paraId="0298C7DC" w14:textId="77777777" w:rsidR="00B41EDF" w:rsidRPr="00255174" w:rsidRDefault="000870AC" w:rsidP="00B41EDF">
            <w:pPr>
              <w:jc w:val="center"/>
              <w:rPr>
                <w:rFonts w:cs="Arial"/>
                <w:color w:val="000000"/>
                <w:sz w:val="18"/>
                <w:szCs w:val="18"/>
              </w:rPr>
            </w:pPr>
            <w:r>
              <w:rPr>
                <w:rFonts w:cs="Arial"/>
                <w:color w:val="000000"/>
                <w:sz w:val="18"/>
                <w:szCs w:val="18"/>
              </w:rPr>
              <w:t>-</w:t>
            </w:r>
          </w:p>
        </w:tc>
        <w:tc>
          <w:tcPr>
            <w:tcW w:w="969" w:type="dxa"/>
            <w:tcBorders>
              <w:top w:val="single" w:sz="4" w:space="0" w:color="auto"/>
              <w:left w:val="nil"/>
              <w:bottom w:val="single" w:sz="8" w:space="0" w:color="auto"/>
              <w:right w:val="single" w:sz="8" w:space="0" w:color="auto"/>
            </w:tcBorders>
            <w:shd w:val="clear" w:color="auto" w:fill="auto"/>
            <w:vAlign w:val="center"/>
          </w:tcPr>
          <w:p w14:paraId="3A3801F1" w14:textId="77777777" w:rsidR="00B41EDF" w:rsidRDefault="000870AC" w:rsidP="00B41EDF">
            <w:pPr>
              <w:jc w:val="center"/>
              <w:rPr>
                <w:rFonts w:cs="Arial"/>
                <w:color w:val="000000"/>
                <w:sz w:val="18"/>
                <w:szCs w:val="18"/>
              </w:rPr>
            </w:pPr>
            <w:r>
              <w:rPr>
                <w:rFonts w:cs="Arial"/>
                <w:color w:val="000000"/>
                <w:sz w:val="18"/>
                <w:szCs w:val="18"/>
              </w:rPr>
              <w:t>-</w:t>
            </w:r>
          </w:p>
        </w:tc>
        <w:tc>
          <w:tcPr>
            <w:tcW w:w="978" w:type="dxa"/>
            <w:tcBorders>
              <w:top w:val="single" w:sz="4" w:space="0" w:color="auto"/>
              <w:left w:val="nil"/>
              <w:bottom w:val="single" w:sz="8" w:space="0" w:color="auto"/>
              <w:right w:val="single" w:sz="8" w:space="0" w:color="auto"/>
            </w:tcBorders>
            <w:shd w:val="clear" w:color="auto" w:fill="auto"/>
            <w:vAlign w:val="center"/>
          </w:tcPr>
          <w:p w14:paraId="11AF3BD0" w14:textId="77777777" w:rsidR="00B41EDF" w:rsidRPr="00F81D78" w:rsidRDefault="00457420" w:rsidP="00B41EDF">
            <w:pPr>
              <w:jc w:val="center"/>
              <w:rPr>
                <w:rFonts w:cs="Arial"/>
                <w:sz w:val="18"/>
                <w:szCs w:val="18"/>
              </w:rPr>
            </w:pPr>
            <w:r w:rsidRPr="00F81D78">
              <w:rPr>
                <w:rFonts w:cs="Arial"/>
                <w:sz w:val="18"/>
                <w:szCs w:val="18"/>
              </w:rPr>
              <w:t>-</w:t>
            </w:r>
          </w:p>
        </w:tc>
        <w:tc>
          <w:tcPr>
            <w:tcW w:w="978" w:type="dxa"/>
            <w:tcBorders>
              <w:top w:val="single" w:sz="4" w:space="0" w:color="auto"/>
              <w:left w:val="nil"/>
              <w:bottom w:val="single" w:sz="8" w:space="0" w:color="auto"/>
              <w:right w:val="single" w:sz="8" w:space="0" w:color="auto"/>
            </w:tcBorders>
            <w:shd w:val="clear" w:color="auto" w:fill="C5E0B3" w:themeFill="accent6" w:themeFillTint="66"/>
            <w:vAlign w:val="center"/>
          </w:tcPr>
          <w:p w14:paraId="0A964E6B" w14:textId="19E65503" w:rsidR="00B41EDF" w:rsidRPr="00235233" w:rsidRDefault="00235233" w:rsidP="00B41EDF">
            <w:pPr>
              <w:jc w:val="center"/>
              <w:rPr>
                <w:rFonts w:cs="Arial"/>
                <w:sz w:val="18"/>
                <w:szCs w:val="18"/>
              </w:rPr>
            </w:pPr>
            <w:r w:rsidRPr="00235233">
              <w:rPr>
                <w:rFonts w:cs="Arial"/>
                <w:sz w:val="18"/>
                <w:szCs w:val="18"/>
              </w:rPr>
              <w:t>95.7%</w:t>
            </w:r>
          </w:p>
        </w:tc>
      </w:tr>
      <w:tr w:rsidR="00A4799D" w:rsidRPr="00255174" w14:paraId="2B1A044A" w14:textId="77777777" w:rsidTr="00A4799D">
        <w:trPr>
          <w:gridAfter w:val="5"/>
          <w:wAfter w:w="22665" w:type="dxa"/>
          <w:trHeight w:val="48"/>
        </w:trPr>
        <w:tc>
          <w:tcPr>
            <w:tcW w:w="9005" w:type="dxa"/>
            <w:gridSpan w:val="7"/>
            <w:tcBorders>
              <w:top w:val="single" w:sz="8" w:space="0" w:color="auto"/>
              <w:left w:val="single" w:sz="8" w:space="0" w:color="auto"/>
              <w:bottom w:val="single" w:sz="8" w:space="0" w:color="auto"/>
              <w:right w:val="single" w:sz="4" w:space="0" w:color="auto"/>
            </w:tcBorders>
            <w:shd w:val="clear" w:color="000000" w:fill="D9D9D9"/>
            <w:vAlign w:val="center"/>
          </w:tcPr>
          <w:p w14:paraId="0C2CBB4C" w14:textId="730C9536" w:rsidR="00A4799D" w:rsidRPr="00235233" w:rsidRDefault="00A4799D" w:rsidP="00A4799D">
            <w:pPr>
              <w:rPr>
                <w:rFonts w:cs="Arial"/>
                <w:sz w:val="18"/>
                <w:szCs w:val="18"/>
              </w:rPr>
            </w:pPr>
            <w:r>
              <w:rPr>
                <w:rFonts w:cs="Arial"/>
                <w:b/>
                <w:bCs/>
                <w:sz w:val="18"/>
                <w:szCs w:val="18"/>
              </w:rPr>
              <w:t>Street lighting</w:t>
            </w:r>
          </w:p>
        </w:tc>
      </w:tr>
      <w:tr w:rsidR="00A4799D" w:rsidRPr="00255174" w14:paraId="5E5A14FB" w14:textId="77777777" w:rsidTr="00A67CC0">
        <w:trPr>
          <w:gridAfter w:val="5"/>
          <w:wAfter w:w="22665" w:type="dxa"/>
          <w:trHeight w:val="301"/>
        </w:trPr>
        <w:tc>
          <w:tcPr>
            <w:tcW w:w="2651" w:type="dxa"/>
            <w:tcBorders>
              <w:top w:val="nil"/>
              <w:left w:val="single" w:sz="8" w:space="0" w:color="auto"/>
              <w:bottom w:val="single" w:sz="4" w:space="0" w:color="auto"/>
              <w:right w:val="single" w:sz="8" w:space="0" w:color="auto"/>
            </w:tcBorders>
            <w:shd w:val="clear" w:color="auto" w:fill="auto"/>
            <w:vAlign w:val="center"/>
          </w:tcPr>
          <w:p w14:paraId="5AE99B9F" w14:textId="1204D54E" w:rsidR="00A4799D" w:rsidRPr="00235233" w:rsidRDefault="00A4799D" w:rsidP="00A4799D">
            <w:pPr>
              <w:rPr>
                <w:rFonts w:cs="Arial"/>
                <w:sz w:val="18"/>
                <w:szCs w:val="18"/>
              </w:rPr>
            </w:pPr>
            <w:r w:rsidRPr="00255174">
              <w:rPr>
                <w:rFonts w:cs="Arial"/>
                <w:color w:val="000000"/>
                <w:sz w:val="18"/>
                <w:szCs w:val="18"/>
              </w:rPr>
              <w:t xml:space="preserve">Average number of working days to repair a LCC street lighting </w:t>
            </w:r>
            <w:r w:rsidRPr="00235233">
              <w:rPr>
                <w:rFonts w:cs="Arial"/>
                <w:sz w:val="18"/>
                <w:szCs w:val="18"/>
              </w:rPr>
              <w:t>fault (including traffic management) target 5 days</w:t>
            </w:r>
          </w:p>
        </w:tc>
        <w:tc>
          <w:tcPr>
            <w:tcW w:w="1177" w:type="dxa"/>
            <w:tcBorders>
              <w:top w:val="nil"/>
              <w:left w:val="nil"/>
              <w:bottom w:val="single" w:sz="4" w:space="0" w:color="auto"/>
              <w:right w:val="single" w:sz="8" w:space="0" w:color="auto"/>
            </w:tcBorders>
            <w:shd w:val="clear" w:color="auto" w:fill="auto"/>
            <w:vAlign w:val="center"/>
          </w:tcPr>
          <w:p w14:paraId="4F03FD6D" w14:textId="5E77D093" w:rsidR="00A4799D" w:rsidRPr="00255174" w:rsidRDefault="00A4799D" w:rsidP="00A4799D">
            <w:pPr>
              <w:jc w:val="center"/>
              <w:rPr>
                <w:rFonts w:cs="Arial"/>
                <w:color w:val="000000"/>
                <w:sz w:val="18"/>
                <w:szCs w:val="18"/>
              </w:rPr>
            </w:pPr>
            <w:r w:rsidRPr="00255174">
              <w:rPr>
                <w:rFonts w:cs="Arial"/>
                <w:color w:val="000000"/>
                <w:sz w:val="18"/>
                <w:szCs w:val="18"/>
              </w:rPr>
              <w:t>L</w:t>
            </w:r>
          </w:p>
        </w:tc>
        <w:tc>
          <w:tcPr>
            <w:tcW w:w="1150" w:type="dxa"/>
            <w:tcBorders>
              <w:top w:val="nil"/>
              <w:left w:val="nil"/>
              <w:bottom w:val="single" w:sz="4" w:space="0" w:color="auto"/>
              <w:right w:val="single" w:sz="8" w:space="0" w:color="auto"/>
            </w:tcBorders>
            <w:shd w:val="clear" w:color="auto" w:fill="auto"/>
            <w:vAlign w:val="center"/>
          </w:tcPr>
          <w:p w14:paraId="671E1031" w14:textId="35897CEE" w:rsidR="00A4799D" w:rsidRDefault="00A4799D" w:rsidP="00A4799D">
            <w:pPr>
              <w:jc w:val="center"/>
              <w:rPr>
                <w:rFonts w:cs="Arial"/>
                <w:sz w:val="18"/>
                <w:szCs w:val="18"/>
              </w:rPr>
            </w:pPr>
            <w:r w:rsidRPr="00E558F5">
              <w:rPr>
                <w:rFonts w:cs="Arial"/>
                <w:sz w:val="18"/>
                <w:szCs w:val="18"/>
              </w:rPr>
              <w:t>4.6</w:t>
            </w:r>
          </w:p>
        </w:tc>
        <w:tc>
          <w:tcPr>
            <w:tcW w:w="1102" w:type="dxa"/>
            <w:tcBorders>
              <w:top w:val="nil"/>
              <w:left w:val="nil"/>
              <w:bottom w:val="single" w:sz="4" w:space="0" w:color="auto"/>
              <w:right w:val="single" w:sz="8" w:space="0" w:color="auto"/>
            </w:tcBorders>
            <w:shd w:val="clear" w:color="auto" w:fill="auto"/>
            <w:vAlign w:val="center"/>
          </w:tcPr>
          <w:p w14:paraId="07602097" w14:textId="768A9504" w:rsidR="00A4799D" w:rsidRDefault="00A4799D" w:rsidP="00A4799D">
            <w:pPr>
              <w:jc w:val="center"/>
              <w:rPr>
                <w:rFonts w:cs="Arial"/>
                <w:color w:val="000000"/>
                <w:sz w:val="18"/>
                <w:szCs w:val="18"/>
              </w:rPr>
            </w:pPr>
            <w:r w:rsidRPr="00255174">
              <w:rPr>
                <w:rFonts w:cs="Arial"/>
                <w:color w:val="000000"/>
                <w:sz w:val="18"/>
                <w:szCs w:val="18"/>
              </w:rPr>
              <w:t>7</w:t>
            </w:r>
          </w:p>
        </w:tc>
        <w:tc>
          <w:tcPr>
            <w:tcW w:w="969" w:type="dxa"/>
            <w:tcBorders>
              <w:top w:val="nil"/>
              <w:left w:val="nil"/>
              <w:bottom w:val="single" w:sz="4" w:space="0" w:color="auto"/>
              <w:right w:val="single" w:sz="8" w:space="0" w:color="auto"/>
            </w:tcBorders>
            <w:shd w:val="clear" w:color="auto" w:fill="auto"/>
            <w:vAlign w:val="center"/>
          </w:tcPr>
          <w:p w14:paraId="0DCEECD7" w14:textId="3D83C37F" w:rsidR="00A4799D" w:rsidRDefault="00A4799D" w:rsidP="00A4799D">
            <w:pPr>
              <w:jc w:val="center"/>
              <w:rPr>
                <w:rFonts w:cs="Arial"/>
                <w:color w:val="000000"/>
                <w:sz w:val="18"/>
                <w:szCs w:val="18"/>
              </w:rPr>
            </w:pPr>
            <w:r w:rsidRPr="00235233">
              <w:rPr>
                <w:rFonts w:cs="Arial"/>
                <w:sz w:val="18"/>
                <w:szCs w:val="18"/>
              </w:rPr>
              <w:t>7.32</w:t>
            </w:r>
          </w:p>
        </w:tc>
        <w:tc>
          <w:tcPr>
            <w:tcW w:w="978" w:type="dxa"/>
            <w:tcBorders>
              <w:top w:val="single" w:sz="4" w:space="0" w:color="auto"/>
              <w:left w:val="nil"/>
              <w:bottom w:val="single" w:sz="8" w:space="0" w:color="auto"/>
              <w:right w:val="single" w:sz="8" w:space="0" w:color="auto"/>
            </w:tcBorders>
            <w:vAlign w:val="center"/>
          </w:tcPr>
          <w:p w14:paraId="5660BF7B" w14:textId="02EFC186" w:rsidR="00A4799D" w:rsidRPr="00F81D78" w:rsidRDefault="00A4799D" w:rsidP="00A4799D">
            <w:pPr>
              <w:jc w:val="center"/>
              <w:rPr>
                <w:rFonts w:cs="Arial"/>
                <w:sz w:val="18"/>
                <w:szCs w:val="18"/>
              </w:rPr>
            </w:pPr>
            <w:r w:rsidRPr="00235233">
              <w:rPr>
                <w:rFonts w:cs="Arial"/>
                <w:sz w:val="18"/>
                <w:szCs w:val="18"/>
              </w:rPr>
              <w:t>5.69</w:t>
            </w:r>
          </w:p>
        </w:tc>
        <w:tc>
          <w:tcPr>
            <w:tcW w:w="978" w:type="dxa"/>
            <w:tcBorders>
              <w:top w:val="single" w:sz="4" w:space="0" w:color="auto"/>
              <w:left w:val="nil"/>
              <w:bottom w:val="single" w:sz="8" w:space="0" w:color="auto"/>
              <w:right w:val="single" w:sz="8" w:space="0" w:color="auto"/>
            </w:tcBorders>
            <w:shd w:val="clear" w:color="auto" w:fill="FF0000"/>
            <w:vAlign w:val="center"/>
          </w:tcPr>
          <w:p w14:paraId="589EC78B" w14:textId="4848E18E" w:rsidR="00A4799D" w:rsidRPr="00235233" w:rsidRDefault="00A4799D" w:rsidP="00A4799D">
            <w:pPr>
              <w:jc w:val="center"/>
              <w:rPr>
                <w:rFonts w:cs="Arial"/>
                <w:sz w:val="18"/>
                <w:szCs w:val="18"/>
              </w:rPr>
            </w:pPr>
            <w:r w:rsidRPr="00235233">
              <w:rPr>
                <w:rFonts w:cs="Arial"/>
                <w:sz w:val="18"/>
                <w:szCs w:val="18"/>
              </w:rPr>
              <w:t>6.97</w:t>
            </w:r>
          </w:p>
        </w:tc>
      </w:tr>
      <w:tr w:rsidR="00B41EDF" w:rsidRPr="00255174" w14:paraId="39B4C5B4" w14:textId="77777777" w:rsidTr="00A4799D">
        <w:trPr>
          <w:trHeight w:val="48"/>
        </w:trPr>
        <w:tc>
          <w:tcPr>
            <w:tcW w:w="9005"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304B462E" w14:textId="77777777" w:rsidR="00B41EDF" w:rsidRPr="00255174" w:rsidRDefault="00B41EDF" w:rsidP="00B41EDF">
            <w:r w:rsidRPr="00E558F5">
              <w:rPr>
                <w:rFonts w:cs="Arial"/>
                <w:b/>
                <w:bCs/>
                <w:sz w:val="18"/>
                <w:szCs w:val="18"/>
              </w:rPr>
              <w:t>Waste management</w:t>
            </w:r>
          </w:p>
        </w:tc>
        <w:tc>
          <w:tcPr>
            <w:tcW w:w="4533" w:type="dxa"/>
            <w:tcBorders>
              <w:left w:val="single" w:sz="4" w:space="0" w:color="auto"/>
            </w:tcBorders>
          </w:tcPr>
          <w:p w14:paraId="52D022CF" w14:textId="77777777" w:rsidR="00B41EDF" w:rsidRPr="00255174" w:rsidRDefault="00B41EDF" w:rsidP="00B41EDF"/>
        </w:tc>
        <w:tc>
          <w:tcPr>
            <w:tcW w:w="4533" w:type="dxa"/>
          </w:tcPr>
          <w:p w14:paraId="15D43FB6" w14:textId="77777777" w:rsidR="00B41EDF" w:rsidRPr="00255174" w:rsidRDefault="00B41EDF" w:rsidP="00B41EDF"/>
        </w:tc>
        <w:tc>
          <w:tcPr>
            <w:tcW w:w="4533" w:type="dxa"/>
          </w:tcPr>
          <w:p w14:paraId="0A9CDACC" w14:textId="77777777" w:rsidR="00B41EDF" w:rsidRPr="00255174" w:rsidRDefault="00B41EDF" w:rsidP="00B41EDF"/>
        </w:tc>
        <w:tc>
          <w:tcPr>
            <w:tcW w:w="4533" w:type="dxa"/>
          </w:tcPr>
          <w:p w14:paraId="3E8287FF" w14:textId="77777777" w:rsidR="00B41EDF" w:rsidRPr="00255174" w:rsidRDefault="00B41EDF" w:rsidP="00B41EDF"/>
        </w:tc>
        <w:tc>
          <w:tcPr>
            <w:tcW w:w="4533" w:type="dxa"/>
            <w:tcBorders>
              <w:top w:val="single" w:sz="8" w:space="0" w:color="auto"/>
              <w:left w:val="single" w:sz="8" w:space="0" w:color="auto"/>
              <w:bottom w:val="single" w:sz="8" w:space="0" w:color="auto"/>
              <w:right w:val="single" w:sz="8" w:space="0" w:color="000000"/>
            </w:tcBorders>
            <w:shd w:val="clear" w:color="000000" w:fill="D9D9D9"/>
            <w:vAlign w:val="center"/>
          </w:tcPr>
          <w:p w14:paraId="30A80AD8" w14:textId="77777777" w:rsidR="00B41EDF" w:rsidRPr="00255174" w:rsidRDefault="00B41EDF" w:rsidP="00B41EDF">
            <w:r w:rsidRPr="00255174">
              <w:rPr>
                <w:rFonts w:cs="Arial"/>
                <w:b/>
                <w:bCs/>
                <w:color w:val="000000"/>
                <w:sz w:val="18"/>
                <w:szCs w:val="18"/>
              </w:rPr>
              <w:t>Waste management</w:t>
            </w:r>
          </w:p>
        </w:tc>
      </w:tr>
      <w:tr w:rsidR="003B6CFB" w:rsidRPr="00255174" w14:paraId="1BA6DDB5" w14:textId="77777777" w:rsidTr="003F1E3E">
        <w:trPr>
          <w:gridAfter w:val="5"/>
          <w:wAfter w:w="22665" w:type="dxa"/>
          <w:trHeight w:val="249"/>
        </w:trPr>
        <w:tc>
          <w:tcPr>
            <w:tcW w:w="2651" w:type="dxa"/>
            <w:tcBorders>
              <w:top w:val="nil"/>
              <w:left w:val="single" w:sz="8" w:space="0" w:color="auto"/>
              <w:bottom w:val="single" w:sz="4" w:space="0" w:color="auto"/>
              <w:right w:val="single" w:sz="8" w:space="0" w:color="auto"/>
            </w:tcBorders>
            <w:shd w:val="clear" w:color="auto" w:fill="auto"/>
            <w:vAlign w:val="center"/>
            <w:hideMark/>
          </w:tcPr>
          <w:p w14:paraId="67115DEF" w14:textId="77777777" w:rsidR="003B6CFB" w:rsidRPr="00255174" w:rsidRDefault="003B6CFB" w:rsidP="003B6CFB">
            <w:pPr>
              <w:rPr>
                <w:rFonts w:cs="Arial"/>
                <w:color w:val="000000"/>
                <w:sz w:val="18"/>
                <w:szCs w:val="18"/>
              </w:rPr>
            </w:pPr>
            <w:r w:rsidRPr="00255174">
              <w:rPr>
                <w:rFonts w:cs="Arial"/>
                <w:color w:val="000000"/>
                <w:sz w:val="18"/>
                <w:szCs w:val="18"/>
              </w:rPr>
              <w:t>% of recycling, re-use and composting</w:t>
            </w:r>
          </w:p>
        </w:tc>
        <w:tc>
          <w:tcPr>
            <w:tcW w:w="1177" w:type="dxa"/>
            <w:tcBorders>
              <w:top w:val="nil"/>
              <w:left w:val="nil"/>
              <w:bottom w:val="single" w:sz="4" w:space="0" w:color="auto"/>
              <w:right w:val="single" w:sz="8" w:space="0" w:color="auto"/>
            </w:tcBorders>
            <w:shd w:val="clear" w:color="auto" w:fill="auto"/>
            <w:vAlign w:val="center"/>
            <w:hideMark/>
          </w:tcPr>
          <w:p w14:paraId="204D87F9" w14:textId="77777777" w:rsidR="003B6CFB" w:rsidRPr="00255174" w:rsidRDefault="003B6CFB" w:rsidP="003B6CFB">
            <w:pPr>
              <w:jc w:val="center"/>
              <w:rPr>
                <w:rFonts w:cs="Arial"/>
                <w:color w:val="000000"/>
                <w:sz w:val="18"/>
                <w:szCs w:val="18"/>
              </w:rPr>
            </w:pPr>
            <w:r w:rsidRPr="00255174">
              <w:rPr>
                <w:rFonts w:cs="Arial"/>
                <w:color w:val="000000"/>
                <w:sz w:val="18"/>
                <w:szCs w:val="18"/>
              </w:rPr>
              <w:t>H</w:t>
            </w:r>
          </w:p>
        </w:tc>
        <w:tc>
          <w:tcPr>
            <w:tcW w:w="1150" w:type="dxa"/>
            <w:tcBorders>
              <w:top w:val="nil"/>
              <w:left w:val="nil"/>
              <w:bottom w:val="single" w:sz="4" w:space="0" w:color="auto"/>
              <w:right w:val="single" w:sz="8" w:space="0" w:color="auto"/>
            </w:tcBorders>
            <w:shd w:val="clear" w:color="auto" w:fill="auto"/>
            <w:vAlign w:val="center"/>
            <w:hideMark/>
          </w:tcPr>
          <w:p w14:paraId="59660F62" w14:textId="77777777" w:rsidR="003B6CFB" w:rsidRPr="00E558F5" w:rsidRDefault="003B6CFB" w:rsidP="003B6CFB">
            <w:pPr>
              <w:jc w:val="center"/>
              <w:rPr>
                <w:rFonts w:cs="Arial"/>
                <w:sz w:val="18"/>
                <w:szCs w:val="18"/>
              </w:rPr>
            </w:pPr>
            <w:r w:rsidRPr="00E558F5">
              <w:rPr>
                <w:rFonts w:cs="Arial"/>
                <w:sz w:val="18"/>
                <w:szCs w:val="18"/>
              </w:rPr>
              <w:t>46%</w:t>
            </w:r>
          </w:p>
        </w:tc>
        <w:tc>
          <w:tcPr>
            <w:tcW w:w="1102" w:type="dxa"/>
            <w:tcBorders>
              <w:top w:val="nil"/>
              <w:left w:val="nil"/>
              <w:bottom w:val="single" w:sz="4" w:space="0" w:color="auto"/>
              <w:right w:val="single" w:sz="8" w:space="0" w:color="auto"/>
            </w:tcBorders>
            <w:shd w:val="clear" w:color="auto" w:fill="auto"/>
            <w:vAlign w:val="center"/>
            <w:hideMark/>
          </w:tcPr>
          <w:p w14:paraId="3B68F7B9" w14:textId="77777777" w:rsidR="003B6CFB" w:rsidRPr="00255174" w:rsidRDefault="003B6CFB" w:rsidP="003B6CFB">
            <w:pPr>
              <w:jc w:val="center"/>
              <w:rPr>
                <w:rFonts w:cs="Arial"/>
                <w:color w:val="000000"/>
                <w:sz w:val="18"/>
                <w:szCs w:val="18"/>
              </w:rPr>
            </w:pPr>
            <w:r w:rsidRPr="00255174">
              <w:rPr>
                <w:rFonts w:cs="Arial"/>
                <w:color w:val="000000"/>
                <w:sz w:val="18"/>
                <w:szCs w:val="18"/>
              </w:rPr>
              <w:t>4</w:t>
            </w:r>
            <w:r>
              <w:rPr>
                <w:rFonts w:cs="Arial"/>
                <w:color w:val="000000"/>
                <w:sz w:val="18"/>
                <w:szCs w:val="18"/>
              </w:rPr>
              <w:t>2</w:t>
            </w:r>
            <w:r w:rsidRPr="00255174">
              <w:rPr>
                <w:rFonts w:cs="Arial"/>
                <w:color w:val="000000"/>
                <w:sz w:val="18"/>
                <w:szCs w:val="18"/>
              </w:rPr>
              <w:t xml:space="preserve">% </w:t>
            </w:r>
          </w:p>
        </w:tc>
        <w:tc>
          <w:tcPr>
            <w:tcW w:w="969" w:type="dxa"/>
            <w:tcBorders>
              <w:top w:val="nil"/>
              <w:left w:val="nil"/>
              <w:bottom w:val="single" w:sz="4" w:space="0" w:color="auto"/>
              <w:right w:val="single" w:sz="8" w:space="0" w:color="auto"/>
            </w:tcBorders>
            <w:shd w:val="clear" w:color="auto" w:fill="auto"/>
            <w:vAlign w:val="center"/>
            <w:hideMark/>
          </w:tcPr>
          <w:p w14:paraId="44F434DF" w14:textId="77777777" w:rsidR="003B6CFB" w:rsidRPr="00255174" w:rsidRDefault="003B6CFB" w:rsidP="003B6CFB">
            <w:pPr>
              <w:jc w:val="center"/>
              <w:rPr>
                <w:rFonts w:cs="Arial"/>
                <w:color w:val="000000"/>
                <w:sz w:val="18"/>
                <w:szCs w:val="18"/>
              </w:rPr>
            </w:pPr>
            <w:r w:rsidRPr="00255174">
              <w:rPr>
                <w:rFonts w:cs="Arial"/>
                <w:color w:val="000000"/>
                <w:sz w:val="18"/>
                <w:szCs w:val="18"/>
              </w:rPr>
              <w:t>4</w:t>
            </w:r>
            <w:r>
              <w:rPr>
                <w:rFonts w:cs="Arial"/>
                <w:color w:val="000000"/>
                <w:sz w:val="18"/>
                <w:szCs w:val="18"/>
              </w:rPr>
              <w:t>3</w:t>
            </w:r>
            <w:r w:rsidRPr="00255174">
              <w:rPr>
                <w:rFonts w:cs="Arial"/>
                <w:color w:val="000000"/>
                <w:sz w:val="18"/>
                <w:szCs w:val="18"/>
              </w:rPr>
              <w:t xml:space="preserve">% </w:t>
            </w:r>
          </w:p>
        </w:tc>
        <w:tc>
          <w:tcPr>
            <w:tcW w:w="978" w:type="dxa"/>
            <w:tcBorders>
              <w:top w:val="nil"/>
              <w:left w:val="nil"/>
              <w:bottom w:val="single" w:sz="4" w:space="0" w:color="auto"/>
              <w:right w:val="single" w:sz="8" w:space="0" w:color="auto"/>
            </w:tcBorders>
            <w:shd w:val="clear" w:color="auto" w:fill="auto"/>
            <w:vAlign w:val="center"/>
          </w:tcPr>
          <w:p w14:paraId="679D1F7C" w14:textId="77777777" w:rsidR="003B6CFB" w:rsidRPr="00023C99" w:rsidRDefault="003B6CFB" w:rsidP="003B6CFB">
            <w:pPr>
              <w:jc w:val="center"/>
              <w:rPr>
                <w:rFonts w:cs="Arial"/>
                <w:color w:val="000000"/>
                <w:sz w:val="18"/>
                <w:szCs w:val="18"/>
              </w:rPr>
            </w:pPr>
            <w:r w:rsidRPr="00255174">
              <w:rPr>
                <w:rFonts w:cs="Arial"/>
                <w:color w:val="000000"/>
                <w:sz w:val="18"/>
                <w:szCs w:val="18"/>
              </w:rPr>
              <w:t>4</w:t>
            </w:r>
            <w:r>
              <w:rPr>
                <w:rFonts w:cs="Arial"/>
                <w:color w:val="000000"/>
                <w:sz w:val="18"/>
                <w:szCs w:val="18"/>
              </w:rPr>
              <w:t>2</w:t>
            </w:r>
            <w:r w:rsidRPr="00255174">
              <w:rPr>
                <w:rFonts w:cs="Arial"/>
                <w:color w:val="000000"/>
                <w:sz w:val="18"/>
                <w:szCs w:val="18"/>
              </w:rPr>
              <w:t xml:space="preserve">% </w:t>
            </w:r>
          </w:p>
        </w:tc>
        <w:tc>
          <w:tcPr>
            <w:tcW w:w="978" w:type="dxa"/>
            <w:tcBorders>
              <w:top w:val="nil"/>
              <w:left w:val="nil"/>
              <w:bottom w:val="single" w:sz="4" w:space="0" w:color="auto"/>
              <w:right w:val="single" w:sz="8" w:space="0" w:color="auto"/>
            </w:tcBorders>
            <w:shd w:val="clear" w:color="000000" w:fill="F8CBAD"/>
            <w:vAlign w:val="center"/>
          </w:tcPr>
          <w:p w14:paraId="11CDB509" w14:textId="77777777" w:rsidR="003B6CFB" w:rsidRDefault="003B6CFB" w:rsidP="003B6CFB">
            <w:pPr>
              <w:jc w:val="center"/>
              <w:rPr>
                <w:rFonts w:cs="Arial"/>
                <w:color w:val="000000"/>
                <w:sz w:val="18"/>
                <w:szCs w:val="18"/>
              </w:rPr>
            </w:pPr>
            <w:r>
              <w:rPr>
                <w:rFonts w:cs="Arial"/>
                <w:color w:val="000000"/>
                <w:sz w:val="18"/>
                <w:szCs w:val="18"/>
              </w:rPr>
              <w:t>42</w:t>
            </w:r>
            <w:r w:rsidRPr="00255174">
              <w:rPr>
                <w:rFonts w:cs="Arial"/>
                <w:color w:val="000000"/>
                <w:sz w:val="18"/>
                <w:szCs w:val="18"/>
              </w:rPr>
              <w:t>%</w:t>
            </w:r>
          </w:p>
        </w:tc>
      </w:tr>
      <w:tr w:rsidR="003B6CFB" w:rsidRPr="00255174" w14:paraId="14A2AAC7" w14:textId="77777777" w:rsidTr="003F1E3E">
        <w:trPr>
          <w:gridAfter w:val="5"/>
          <w:wAfter w:w="22665" w:type="dxa"/>
          <w:trHeight w:val="125"/>
        </w:trPr>
        <w:tc>
          <w:tcPr>
            <w:tcW w:w="2651" w:type="dxa"/>
            <w:tcBorders>
              <w:top w:val="single" w:sz="4" w:space="0" w:color="auto"/>
              <w:left w:val="single" w:sz="8" w:space="0" w:color="auto"/>
              <w:bottom w:val="nil"/>
              <w:right w:val="single" w:sz="8" w:space="0" w:color="auto"/>
            </w:tcBorders>
            <w:shd w:val="clear" w:color="auto" w:fill="auto"/>
            <w:vAlign w:val="center"/>
            <w:hideMark/>
          </w:tcPr>
          <w:p w14:paraId="6B942E83" w14:textId="77777777" w:rsidR="003B6CFB" w:rsidRPr="00255174" w:rsidRDefault="003B6CFB" w:rsidP="003B6CFB">
            <w:pPr>
              <w:rPr>
                <w:rFonts w:cs="Arial"/>
                <w:color w:val="000000"/>
                <w:sz w:val="18"/>
                <w:szCs w:val="18"/>
              </w:rPr>
            </w:pPr>
            <w:r w:rsidRPr="00255174">
              <w:rPr>
                <w:rFonts w:cs="Arial"/>
                <w:color w:val="000000"/>
                <w:sz w:val="18"/>
                <w:szCs w:val="18"/>
              </w:rPr>
              <w:t>% diversion of municipal waste away from landfill (including recovery)</w:t>
            </w:r>
          </w:p>
        </w:tc>
        <w:tc>
          <w:tcPr>
            <w:tcW w:w="1177" w:type="dxa"/>
            <w:tcBorders>
              <w:top w:val="single" w:sz="4" w:space="0" w:color="auto"/>
              <w:left w:val="nil"/>
              <w:bottom w:val="nil"/>
              <w:right w:val="single" w:sz="8" w:space="0" w:color="auto"/>
            </w:tcBorders>
            <w:shd w:val="clear" w:color="auto" w:fill="auto"/>
            <w:vAlign w:val="center"/>
            <w:hideMark/>
          </w:tcPr>
          <w:p w14:paraId="2EC9358D" w14:textId="77777777" w:rsidR="003B6CFB" w:rsidRPr="00255174" w:rsidRDefault="003B6CFB" w:rsidP="003B6CFB">
            <w:pPr>
              <w:jc w:val="center"/>
              <w:rPr>
                <w:rFonts w:cs="Arial"/>
                <w:color w:val="000000"/>
                <w:sz w:val="18"/>
                <w:szCs w:val="18"/>
              </w:rPr>
            </w:pPr>
            <w:r w:rsidRPr="00255174">
              <w:rPr>
                <w:rFonts w:cs="Arial"/>
                <w:color w:val="000000"/>
                <w:sz w:val="18"/>
                <w:szCs w:val="18"/>
              </w:rPr>
              <w:t>H</w:t>
            </w:r>
          </w:p>
        </w:tc>
        <w:tc>
          <w:tcPr>
            <w:tcW w:w="1150" w:type="dxa"/>
            <w:tcBorders>
              <w:top w:val="single" w:sz="4" w:space="0" w:color="auto"/>
              <w:left w:val="nil"/>
              <w:bottom w:val="nil"/>
              <w:right w:val="single" w:sz="8" w:space="0" w:color="auto"/>
            </w:tcBorders>
            <w:shd w:val="clear" w:color="auto" w:fill="auto"/>
            <w:vAlign w:val="center"/>
            <w:hideMark/>
          </w:tcPr>
          <w:p w14:paraId="781833AB" w14:textId="77777777" w:rsidR="003B6CFB" w:rsidRPr="00E558F5" w:rsidRDefault="003B6CFB" w:rsidP="003B6CFB">
            <w:pPr>
              <w:jc w:val="center"/>
              <w:rPr>
                <w:rFonts w:cs="Arial"/>
                <w:sz w:val="18"/>
                <w:szCs w:val="18"/>
              </w:rPr>
            </w:pPr>
            <w:r w:rsidRPr="00E558F5">
              <w:rPr>
                <w:rFonts w:cs="Arial"/>
                <w:sz w:val="18"/>
                <w:szCs w:val="18"/>
              </w:rPr>
              <w:t>49%</w:t>
            </w:r>
          </w:p>
        </w:tc>
        <w:tc>
          <w:tcPr>
            <w:tcW w:w="1102" w:type="dxa"/>
            <w:tcBorders>
              <w:top w:val="single" w:sz="4" w:space="0" w:color="auto"/>
              <w:left w:val="nil"/>
              <w:bottom w:val="single" w:sz="8" w:space="0" w:color="auto"/>
              <w:right w:val="single" w:sz="8" w:space="0" w:color="auto"/>
            </w:tcBorders>
            <w:shd w:val="clear" w:color="auto" w:fill="auto"/>
            <w:vAlign w:val="center"/>
            <w:hideMark/>
          </w:tcPr>
          <w:p w14:paraId="538311F8" w14:textId="77777777" w:rsidR="003B6CFB" w:rsidRPr="00255174" w:rsidRDefault="003B6CFB" w:rsidP="003B6CFB">
            <w:pPr>
              <w:jc w:val="center"/>
              <w:rPr>
                <w:rFonts w:cs="Arial"/>
                <w:color w:val="000000"/>
                <w:sz w:val="18"/>
                <w:szCs w:val="18"/>
              </w:rPr>
            </w:pPr>
            <w:r w:rsidRPr="00255174">
              <w:rPr>
                <w:rFonts w:cs="Arial"/>
                <w:color w:val="000000"/>
                <w:sz w:val="18"/>
                <w:szCs w:val="18"/>
              </w:rPr>
              <w:t xml:space="preserve">51% </w:t>
            </w:r>
          </w:p>
        </w:tc>
        <w:tc>
          <w:tcPr>
            <w:tcW w:w="969" w:type="dxa"/>
            <w:tcBorders>
              <w:top w:val="single" w:sz="4" w:space="0" w:color="auto"/>
              <w:left w:val="nil"/>
              <w:bottom w:val="single" w:sz="8" w:space="0" w:color="auto"/>
              <w:right w:val="single" w:sz="8" w:space="0" w:color="auto"/>
            </w:tcBorders>
            <w:shd w:val="clear" w:color="auto" w:fill="auto"/>
            <w:vAlign w:val="center"/>
            <w:hideMark/>
          </w:tcPr>
          <w:p w14:paraId="665531D4" w14:textId="77777777" w:rsidR="003B6CFB" w:rsidRPr="00255174" w:rsidRDefault="003B6CFB" w:rsidP="003B6CFB">
            <w:pPr>
              <w:jc w:val="center"/>
              <w:rPr>
                <w:rFonts w:cs="Arial"/>
                <w:color w:val="000000"/>
                <w:sz w:val="18"/>
                <w:szCs w:val="18"/>
              </w:rPr>
            </w:pPr>
            <w:r>
              <w:rPr>
                <w:rFonts w:cs="Arial"/>
                <w:color w:val="000000"/>
                <w:sz w:val="18"/>
                <w:szCs w:val="18"/>
              </w:rPr>
              <w:t>55</w:t>
            </w:r>
            <w:r w:rsidRPr="00255174">
              <w:rPr>
                <w:rFonts w:cs="Arial"/>
                <w:color w:val="000000"/>
                <w:sz w:val="18"/>
                <w:szCs w:val="18"/>
              </w:rPr>
              <w:t xml:space="preserve">% </w:t>
            </w:r>
          </w:p>
        </w:tc>
        <w:tc>
          <w:tcPr>
            <w:tcW w:w="978" w:type="dxa"/>
            <w:tcBorders>
              <w:top w:val="single" w:sz="4" w:space="0" w:color="auto"/>
              <w:left w:val="nil"/>
              <w:bottom w:val="single" w:sz="8" w:space="0" w:color="auto"/>
              <w:right w:val="single" w:sz="8" w:space="0" w:color="auto"/>
            </w:tcBorders>
            <w:shd w:val="clear" w:color="auto" w:fill="auto"/>
            <w:vAlign w:val="center"/>
          </w:tcPr>
          <w:p w14:paraId="6D6590F1" w14:textId="77777777" w:rsidR="003B6CFB" w:rsidRPr="00023C99" w:rsidRDefault="003B6CFB" w:rsidP="003B6CFB">
            <w:pPr>
              <w:jc w:val="center"/>
              <w:rPr>
                <w:rFonts w:cs="Arial"/>
                <w:color w:val="000000"/>
                <w:sz w:val="18"/>
                <w:szCs w:val="18"/>
              </w:rPr>
            </w:pPr>
            <w:r>
              <w:rPr>
                <w:rFonts w:cs="Arial"/>
                <w:color w:val="000000"/>
                <w:sz w:val="18"/>
                <w:szCs w:val="18"/>
              </w:rPr>
              <w:t>56</w:t>
            </w:r>
            <w:r w:rsidRPr="00255174">
              <w:rPr>
                <w:rFonts w:cs="Arial"/>
                <w:color w:val="000000"/>
                <w:sz w:val="18"/>
                <w:szCs w:val="18"/>
              </w:rPr>
              <w:t xml:space="preserve">% </w:t>
            </w:r>
          </w:p>
        </w:tc>
        <w:tc>
          <w:tcPr>
            <w:tcW w:w="978" w:type="dxa"/>
            <w:tcBorders>
              <w:top w:val="single" w:sz="4" w:space="0" w:color="auto"/>
              <w:left w:val="nil"/>
              <w:bottom w:val="single" w:sz="8" w:space="0" w:color="auto"/>
              <w:right w:val="single" w:sz="8" w:space="0" w:color="auto"/>
            </w:tcBorders>
            <w:shd w:val="clear" w:color="000000" w:fill="C6E0B4"/>
            <w:vAlign w:val="center"/>
          </w:tcPr>
          <w:p w14:paraId="6C766236" w14:textId="77777777" w:rsidR="003B6CFB" w:rsidRDefault="003B6CFB" w:rsidP="003B6CFB">
            <w:pPr>
              <w:jc w:val="center"/>
              <w:rPr>
                <w:rFonts w:cs="Arial"/>
                <w:color w:val="000000"/>
                <w:sz w:val="18"/>
                <w:szCs w:val="18"/>
              </w:rPr>
            </w:pPr>
            <w:r>
              <w:rPr>
                <w:rFonts w:cs="Arial"/>
                <w:color w:val="000000"/>
                <w:sz w:val="18"/>
                <w:szCs w:val="18"/>
              </w:rPr>
              <w:t>60</w:t>
            </w:r>
            <w:r w:rsidRPr="00255174">
              <w:rPr>
                <w:rFonts w:cs="Arial"/>
                <w:color w:val="000000"/>
                <w:sz w:val="18"/>
                <w:szCs w:val="18"/>
              </w:rPr>
              <w:t>%</w:t>
            </w:r>
          </w:p>
        </w:tc>
      </w:tr>
      <w:tr w:rsidR="00B41EDF" w:rsidRPr="00255174" w14:paraId="6EB032E7" w14:textId="77777777" w:rsidTr="00DC29D7">
        <w:trPr>
          <w:gridAfter w:val="5"/>
          <w:wAfter w:w="22665" w:type="dxa"/>
          <w:trHeight w:val="60"/>
        </w:trPr>
        <w:tc>
          <w:tcPr>
            <w:tcW w:w="9005"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3F7E6331" w14:textId="77777777" w:rsidR="00B41EDF" w:rsidRPr="00255174" w:rsidRDefault="00B41EDF" w:rsidP="00B41EDF">
            <w:pPr>
              <w:rPr>
                <w:rFonts w:cs="Arial"/>
                <w:b/>
                <w:bCs/>
                <w:color w:val="000000"/>
                <w:sz w:val="18"/>
                <w:szCs w:val="18"/>
              </w:rPr>
            </w:pPr>
            <w:r w:rsidRPr="00E558F5">
              <w:rPr>
                <w:rFonts w:cs="Arial"/>
                <w:b/>
                <w:bCs/>
                <w:sz w:val="18"/>
                <w:szCs w:val="18"/>
              </w:rPr>
              <w:t>Libraries and museums</w:t>
            </w:r>
          </w:p>
        </w:tc>
      </w:tr>
      <w:tr w:rsidR="003B6CFB" w:rsidRPr="00255174" w14:paraId="7754B0ED" w14:textId="77777777" w:rsidTr="003F1E3E">
        <w:trPr>
          <w:gridAfter w:val="5"/>
          <w:wAfter w:w="22665" w:type="dxa"/>
          <w:trHeight w:val="48"/>
        </w:trPr>
        <w:tc>
          <w:tcPr>
            <w:tcW w:w="2651" w:type="dxa"/>
            <w:tcBorders>
              <w:top w:val="nil"/>
              <w:left w:val="single" w:sz="8" w:space="0" w:color="auto"/>
              <w:bottom w:val="single" w:sz="8" w:space="0" w:color="auto"/>
              <w:right w:val="single" w:sz="8" w:space="0" w:color="auto"/>
            </w:tcBorders>
            <w:shd w:val="clear" w:color="auto" w:fill="auto"/>
            <w:vAlign w:val="center"/>
            <w:hideMark/>
          </w:tcPr>
          <w:p w14:paraId="789DBB87" w14:textId="77777777" w:rsidR="003B6CFB" w:rsidRPr="00255174" w:rsidRDefault="003B6CFB" w:rsidP="003B6CFB">
            <w:pPr>
              <w:rPr>
                <w:rFonts w:cs="Arial"/>
                <w:color w:val="000000"/>
                <w:sz w:val="18"/>
                <w:szCs w:val="18"/>
              </w:rPr>
            </w:pPr>
            <w:r w:rsidRPr="00255174">
              <w:rPr>
                <w:rFonts w:cs="Arial"/>
                <w:color w:val="000000"/>
                <w:sz w:val="18"/>
                <w:szCs w:val="18"/>
              </w:rPr>
              <w:t>Number of visits to libraries each quarter</w:t>
            </w:r>
          </w:p>
        </w:tc>
        <w:tc>
          <w:tcPr>
            <w:tcW w:w="1177" w:type="dxa"/>
            <w:tcBorders>
              <w:top w:val="nil"/>
              <w:left w:val="nil"/>
              <w:bottom w:val="single" w:sz="8" w:space="0" w:color="auto"/>
              <w:right w:val="single" w:sz="8" w:space="0" w:color="auto"/>
            </w:tcBorders>
            <w:shd w:val="clear" w:color="auto" w:fill="auto"/>
            <w:vAlign w:val="center"/>
            <w:hideMark/>
          </w:tcPr>
          <w:p w14:paraId="563034BC" w14:textId="77777777" w:rsidR="003B6CFB" w:rsidRPr="00255174" w:rsidRDefault="003B6CFB" w:rsidP="003B6CFB">
            <w:pPr>
              <w:jc w:val="center"/>
              <w:rPr>
                <w:rFonts w:cs="Arial"/>
                <w:color w:val="000000"/>
                <w:sz w:val="18"/>
                <w:szCs w:val="18"/>
              </w:rPr>
            </w:pPr>
            <w:r w:rsidRPr="00255174">
              <w:rPr>
                <w:rFonts w:cs="Arial"/>
                <w:color w:val="000000"/>
                <w:sz w:val="18"/>
                <w:szCs w:val="18"/>
              </w:rPr>
              <w:t>H</w:t>
            </w:r>
          </w:p>
        </w:tc>
        <w:tc>
          <w:tcPr>
            <w:tcW w:w="1150" w:type="dxa"/>
            <w:tcBorders>
              <w:top w:val="nil"/>
              <w:left w:val="nil"/>
              <w:bottom w:val="single" w:sz="8" w:space="0" w:color="auto"/>
              <w:right w:val="single" w:sz="8" w:space="0" w:color="auto"/>
            </w:tcBorders>
            <w:shd w:val="clear" w:color="auto" w:fill="auto"/>
            <w:vAlign w:val="center"/>
            <w:hideMark/>
          </w:tcPr>
          <w:p w14:paraId="1263F288" w14:textId="77777777" w:rsidR="003B6CFB" w:rsidRPr="00E558F5" w:rsidRDefault="003B6CFB" w:rsidP="003B6CFB">
            <w:pPr>
              <w:jc w:val="center"/>
              <w:rPr>
                <w:rFonts w:cs="Arial"/>
                <w:sz w:val="18"/>
                <w:szCs w:val="18"/>
              </w:rPr>
            </w:pPr>
            <w:r w:rsidRPr="00E558F5">
              <w:rPr>
                <w:rFonts w:cs="Arial"/>
                <w:sz w:val="18"/>
                <w:szCs w:val="18"/>
              </w:rPr>
              <w:t>4,007,475</w:t>
            </w:r>
          </w:p>
        </w:tc>
        <w:tc>
          <w:tcPr>
            <w:tcW w:w="1102" w:type="dxa"/>
            <w:tcBorders>
              <w:top w:val="nil"/>
              <w:left w:val="nil"/>
              <w:bottom w:val="single" w:sz="8" w:space="0" w:color="auto"/>
              <w:right w:val="single" w:sz="8" w:space="0" w:color="auto"/>
            </w:tcBorders>
            <w:shd w:val="clear" w:color="auto" w:fill="auto"/>
            <w:vAlign w:val="center"/>
            <w:hideMark/>
          </w:tcPr>
          <w:p w14:paraId="1F5C03E8" w14:textId="77777777" w:rsidR="003B6CFB" w:rsidRPr="00255174" w:rsidRDefault="003B6CFB" w:rsidP="003B6CFB">
            <w:pPr>
              <w:jc w:val="center"/>
              <w:rPr>
                <w:rFonts w:cs="Arial"/>
                <w:color w:val="000000"/>
                <w:sz w:val="18"/>
                <w:szCs w:val="18"/>
              </w:rPr>
            </w:pPr>
            <w:r w:rsidRPr="00255174">
              <w:rPr>
                <w:rFonts w:cs="Arial"/>
                <w:color w:val="000000"/>
                <w:sz w:val="18"/>
                <w:szCs w:val="18"/>
              </w:rPr>
              <w:t>3,573,465</w:t>
            </w:r>
          </w:p>
        </w:tc>
        <w:tc>
          <w:tcPr>
            <w:tcW w:w="969" w:type="dxa"/>
            <w:tcBorders>
              <w:top w:val="nil"/>
              <w:left w:val="nil"/>
              <w:bottom w:val="single" w:sz="8" w:space="0" w:color="auto"/>
              <w:right w:val="single" w:sz="8" w:space="0" w:color="auto"/>
            </w:tcBorders>
            <w:shd w:val="clear" w:color="auto" w:fill="auto"/>
            <w:vAlign w:val="center"/>
            <w:hideMark/>
          </w:tcPr>
          <w:p w14:paraId="280E8D1C" w14:textId="77777777" w:rsidR="003B6CFB" w:rsidRPr="00255174" w:rsidRDefault="003B6CFB" w:rsidP="003B6CFB">
            <w:pPr>
              <w:jc w:val="center"/>
              <w:rPr>
                <w:rFonts w:cs="Arial"/>
                <w:color w:val="000000"/>
                <w:sz w:val="18"/>
                <w:szCs w:val="18"/>
              </w:rPr>
            </w:pPr>
            <w:r>
              <w:rPr>
                <w:rFonts w:cs="Arial"/>
                <w:color w:val="000000"/>
                <w:sz w:val="18"/>
                <w:szCs w:val="18"/>
              </w:rPr>
              <w:t>879,387</w:t>
            </w:r>
          </w:p>
        </w:tc>
        <w:tc>
          <w:tcPr>
            <w:tcW w:w="978" w:type="dxa"/>
            <w:tcBorders>
              <w:top w:val="nil"/>
              <w:left w:val="nil"/>
              <w:bottom w:val="single" w:sz="8" w:space="0" w:color="auto"/>
              <w:right w:val="single" w:sz="8" w:space="0" w:color="auto"/>
            </w:tcBorders>
            <w:shd w:val="clear" w:color="auto" w:fill="auto"/>
            <w:vAlign w:val="center"/>
          </w:tcPr>
          <w:p w14:paraId="51483CFE" w14:textId="77777777" w:rsidR="003B6CFB" w:rsidRPr="00255174" w:rsidRDefault="003B6CFB" w:rsidP="003B6CFB">
            <w:pPr>
              <w:jc w:val="center"/>
              <w:rPr>
                <w:rFonts w:cs="Arial"/>
                <w:color w:val="000000"/>
                <w:sz w:val="18"/>
                <w:szCs w:val="18"/>
              </w:rPr>
            </w:pPr>
            <w:r>
              <w:rPr>
                <w:rFonts w:cs="Arial"/>
                <w:color w:val="000000"/>
                <w:sz w:val="18"/>
                <w:szCs w:val="18"/>
              </w:rPr>
              <w:t>924,536</w:t>
            </w:r>
          </w:p>
        </w:tc>
        <w:tc>
          <w:tcPr>
            <w:tcW w:w="978" w:type="dxa"/>
            <w:tcBorders>
              <w:top w:val="nil"/>
              <w:left w:val="nil"/>
              <w:bottom w:val="nil"/>
              <w:right w:val="single" w:sz="8" w:space="0" w:color="auto"/>
            </w:tcBorders>
            <w:shd w:val="clear" w:color="000000" w:fill="F7CAAC"/>
            <w:vAlign w:val="center"/>
          </w:tcPr>
          <w:p w14:paraId="5B58C399" w14:textId="77777777" w:rsidR="003B6CFB" w:rsidRPr="0091013D" w:rsidRDefault="003B6CFB" w:rsidP="003B6CFB">
            <w:pPr>
              <w:jc w:val="center"/>
              <w:rPr>
                <w:rFonts w:cs="Arial"/>
                <w:sz w:val="18"/>
                <w:szCs w:val="18"/>
              </w:rPr>
            </w:pPr>
            <w:r>
              <w:rPr>
                <w:rFonts w:cs="Arial"/>
                <w:color w:val="000000"/>
                <w:sz w:val="18"/>
                <w:szCs w:val="18"/>
              </w:rPr>
              <w:t>877,167</w:t>
            </w:r>
          </w:p>
        </w:tc>
      </w:tr>
      <w:tr w:rsidR="003B6CFB" w:rsidRPr="00255174" w14:paraId="0432DE70" w14:textId="77777777" w:rsidTr="003F1E3E">
        <w:trPr>
          <w:gridAfter w:val="5"/>
          <w:wAfter w:w="22665" w:type="dxa"/>
          <w:trHeight w:val="48"/>
        </w:trPr>
        <w:tc>
          <w:tcPr>
            <w:tcW w:w="2651" w:type="dxa"/>
            <w:tcBorders>
              <w:top w:val="nil"/>
              <w:left w:val="single" w:sz="8" w:space="0" w:color="auto"/>
              <w:bottom w:val="single" w:sz="4" w:space="0" w:color="auto"/>
              <w:right w:val="single" w:sz="8" w:space="0" w:color="auto"/>
            </w:tcBorders>
            <w:shd w:val="clear" w:color="auto" w:fill="auto"/>
            <w:vAlign w:val="center"/>
            <w:hideMark/>
          </w:tcPr>
          <w:p w14:paraId="071466F7" w14:textId="77777777" w:rsidR="003B6CFB" w:rsidRPr="00255174" w:rsidRDefault="003B6CFB" w:rsidP="003B6CFB">
            <w:pPr>
              <w:rPr>
                <w:rFonts w:cs="Arial"/>
                <w:color w:val="000000"/>
                <w:sz w:val="18"/>
                <w:szCs w:val="18"/>
              </w:rPr>
            </w:pPr>
            <w:r w:rsidRPr="00255174">
              <w:rPr>
                <w:rFonts w:cs="Arial"/>
                <w:color w:val="000000"/>
                <w:sz w:val="18"/>
                <w:szCs w:val="18"/>
              </w:rPr>
              <w:t>Number of visits to museums each month</w:t>
            </w:r>
          </w:p>
        </w:tc>
        <w:tc>
          <w:tcPr>
            <w:tcW w:w="1177" w:type="dxa"/>
            <w:tcBorders>
              <w:top w:val="nil"/>
              <w:left w:val="nil"/>
              <w:bottom w:val="single" w:sz="4" w:space="0" w:color="auto"/>
              <w:right w:val="single" w:sz="8" w:space="0" w:color="auto"/>
            </w:tcBorders>
            <w:shd w:val="clear" w:color="auto" w:fill="auto"/>
            <w:vAlign w:val="center"/>
            <w:hideMark/>
          </w:tcPr>
          <w:p w14:paraId="34BED6BE" w14:textId="77777777" w:rsidR="003B6CFB" w:rsidRPr="00255174" w:rsidRDefault="003B6CFB" w:rsidP="003B6CFB">
            <w:pPr>
              <w:jc w:val="center"/>
              <w:rPr>
                <w:rFonts w:cs="Arial"/>
                <w:color w:val="000000"/>
                <w:sz w:val="18"/>
                <w:szCs w:val="18"/>
              </w:rPr>
            </w:pPr>
            <w:r w:rsidRPr="00255174">
              <w:rPr>
                <w:rFonts w:cs="Arial"/>
                <w:color w:val="000000"/>
                <w:sz w:val="18"/>
                <w:szCs w:val="18"/>
              </w:rPr>
              <w:t>H</w:t>
            </w:r>
          </w:p>
        </w:tc>
        <w:tc>
          <w:tcPr>
            <w:tcW w:w="1150" w:type="dxa"/>
            <w:tcBorders>
              <w:top w:val="nil"/>
              <w:left w:val="nil"/>
              <w:bottom w:val="single" w:sz="4" w:space="0" w:color="auto"/>
              <w:right w:val="single" w:sz="8" w:space="0" w:color="auto"/>
            </w:tcBorders>
            <w:shd w:val="clear" w:color="auto" w:fill="auto"/>
            <w:vAlign w:val="center"/>
            <w:hideMark/>
          </w:tcPr>
          <w:p w14:paraId="1840F5AB" w14:textId="77777777" w:rsidR="003B6CFB" w:rsidRPr="00E558F5" w:rsidRDefault="003B6CFB" w:rsidP="003B6CFB">
            <w:pPr>
              <w:jc w:val="center"/>
              <w:rPr>
                <w:rFonts w:cs="Arial"/>
                <w:sz w:val="18"/>
                <w:szCs w:val="18"/>
              </w:rPr>
            </w:pPr>
            <w:r w:rsidRPr="00E558F5">
              <w:rPr>
                <w:rFonts w:cs="Arial"/>
                <w:sz w:val="18"/>
                <w:szCs w:val="18"/>
              </w:rPr>
              <w:t>256,318</w:t>
            </w:r>
          </w:p>
        </w:tc>
        <w:tc>
          <w:tcPr>
            <w:tcW w:w="1102" w:type="dxa"/>
            <w:tcBorders>
              <w:top w:val="nil"/>
              <w:left w:val="nil"/>
              <w:bottom w:val="single" w:sz="4" w:space="0" w:color="auto"/>
              <w:right w:val="single" w:sz="8" w:space="0" w:color="auto"/>
            </w:tcBorders>
            <w:shd w:val="clear" w:color="auto" w:fill="auto"/>
            <w:vAlign w:val="center"/>
            <w:hideMark/>
          </w:tcPr>
          <w:p w14:paraId="0F1D4EE8" w14:textId="77777777" w:rsidR="003B6CFB" w:rsidRPr="00255174" w:rsidRDefault="003B6CFB" w:rsidP="003B6CFB">
            <w:pPr>
              <w:jc w:val="center"/>
              <w:rPr>
                <w:rFonts w:cs="Arial"/>
                <w:color w:val="000000"/>
                <w:sz w:val="18"/>
                <w:szCs w:val="18"/>
              </w:rPr>
            </w:pPr>
            <w:r w:rsidRPr="00255174">
              <w:rPr>
                <w:rFonts w:cs="Arial"/>
                <w:color w:val="000000"/>
                <w:sz w:val="18"/>
                <w:szCs w:val="18"/>
              </w:rPr>
              <w:t>244,365</w:t>
            </w:r>
          </w:p>
        </w:tc>
        <w:tc>
          <w:tcPr>
            <w:tcW w:w="969" w:type="dxa"/>
            <w:tcBorders>
              <w:top w:val="nil"/>
              <w:left w:val="nil"/>
              <w:bottom w:val="single" w:sz="4" w:space="0" w:color="auto"/>
              <w:right w:val="single" w:sz="8" w:space="0" w:color="auto"/>
            </w:tcBorders>
            <w:shd w:val="clear" w:color="auto" w:fill="auto"/>
            <w:vAlign w:val="center"/>
            <w:hideMark/>
          </w:tcPr>
          <w:p w14:paraId="7268CD14" w14:textId="77777777" w:rsidR="003B6CFB" w:rsidRPr="00255174" w:rsidRDefault="003B6CFB" w:rsidP="003B6CFB">
            <w:pPr>
              <w:jc w:val="center"/>
              <w:rPr>
                <w:rFonts w:cs="Arial"/>
                <w:color w:val="000000"/>
                <w:sz w:val="18"/>
                <w:szCs w:val="18"/>
              </w:rPr>
            </w:pPr>
            <w:r>
              <w:rPr>
                <w:rFonts w:cs="Arial"/>
                <w:color w:val="000000"/>
                <w:sz w:val="18"/>
                <w:szCs w:val="18"/>
              </w:rPr>
              <w:t>58,544</w:t>
            </w:r>
          </w:p>
        </w:tc>
        <w:tc>
          <w:tcPr>
            <w:tcW w:w="978" w:type="dxa"/>
            <w:tcBorders>
              <w:top w:val="nil"/>
              <w:left w:val="nil"/>
              <w:bottom w:val="single" w:sz="4" w:space="0" w:color="auto"/>
              <w:right w:val="single" w:sz="8" w:space="0" w:color="auto"/>
            </w:tcBorders>
            <w:shd w:val="clear" w:color="auto" w:fill="auto"/>
            <w:vAlign w:val="center"/>
          </w:tcPr>
          <w:p w14:paraId="39907E50" w14:textId="77777777" w:rsidR="003B6CFB" w:rsidRPr="00255174" w:rsidRDefault="003B6CFB" w:rsidP="003B6CFB">
            <w:pPr>
              <w:jc w:val="center"/>
              <w:rPr>
                <w:rFonts w:cs="Arial"/>
                <w:color w:val="000000"/>
                <w:sz w:val="18"/>
                <w:szCs w:val="18"/>
              </w:rPr>
            </w:pPr>
            <w:r>
              <w:rPr>
                <w:rFonts w:cs="Arial"/>
                <w:color w:val="000000"/>
                <w:sz w:val="18"/>
                <w:szCs w:val="18"/>
              </w:rPr>
              <w:t>59,032</w:t>
            </w:r>
          </w:p>
        </w:tc>
        <w:tc>
          <w:tcPr>
            <w:tcW w:w="978" w:type="dxa"/>
            <w:tcBorders>
              <w:top w:val="single" w:sz="8" w:space="0" w:color="auto"/>
              <w:left w:val="nil"/>
              <w:bottom w:val="single" w:sz="4" w:space="0" w:color="auto"/>
              <w:right w:val="single" w:sz="8" w:space="0" w:color="auto"/>
            </w:tcBorders>
            <w:shd w:val="clear" w:color="000000" w:fill="F8CBAD"/>
            <w:vAlign w:val="center"/>
          </w:tcPr>
          <w:p w14:paraId="774A9B40" w14:textId="77777777" w:rsidR="003B6CFB" w:rsidRPr="0091013D" w:rsidRDefault="003B6CFB" w:rsidP="003B6CFB">
            <w:pPr>
              <w:jc w:val="center"/>
              <w:rPr>
                <w:rFonts w:cs="Arial"/>
                <w:sz w:val="18"/>
                <w:szCs w:val="18"/>
              </w:rPr>
            </w:pPr>
            <w:r>
              <w:rPr>
                <w:rFonts w:cs="Arial"/>
                <w:color w:val="000000"/>
                <w:sz w:val="18"/>
                <w:szCs w:val="18"/>
              </w:rPr>
              <w:t>23,140</w:t>
            </w:r>
          </w:p>
        </w:tc>
      </w:tr>
      <w:tr w:rsidR="003B6CFB" w:rsidRPr="00255174" w14:paraId="000546C1" w14:textId="77777777" w:rsidTr="003F1E3E">
        <w:trPr>
          <w:gridAfter w:val="5"/>
          <w:wAfter w:w="22665" w:type="dxa"/>
          <w:trHeight w:val="75"/>
        </w:trPr>
        <w:tc>
          <w:tcPr>
            <w:tcW w:w="26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E8C2FA7" w14:textId="77777777" w:rsidR="003B6CFB" w:rsidRPr="00255174" w:rsidRDefault="003B6CFB" w:rsidP="003B6CFB">
            <w:pPr>
              <w:rPr>
                <w:rFonts w:cs="Arial"/>
                <w:color w:val="000000"/>
                <w:sz w:val="18"/>
                <w:szCs w:val="18"/>
              </w:rPr>
            </w:pPr>
            <w:r w:rsidRPr="00255174">
              <w:rPr>
                <w:rFonts w:cs="Arial"/>
                <w:color w:val="000000"/>
                <w:sz w:val="18"/>
                <w:szCs w:val="18"/>
              </w:rPr>
              <w:t>Number of E-Book downloads each month</w:t>
            </w:r>
          </w:p>
        </w:tc>
        <w:tc>
          <w:tcPr>
            <w:tcW w:w="1177" w:type="dxa"/>
            <w:tcBorders>
              <w:top w:val="single" w:sz="4" w:space="0" w:color="auto"/>
              <w:left w:val="nil"/>
              <w:bottom w:val="single" w:sz="4" w:space="0" w:color="auto"/>
              <w:right w:val="single" w:sz="8" w:space="0" w:color="auto"/>
            </w:tcBorders>
            <w:shd w:val="clear" w:color="auto" w:fill="auto"/>
            <w:vAlign w:val="center"/>
            <w:hideMark/>
          </w:tcPr>
          <w:p w14:paraId="530CDFA6" w14:textId="77777777" w:rsidR="003B6CFB" w:rsidRPr="00255174" w:rsidRDefault="003B6CFB" w:rsidP="003B6CFB">
            <w:pPr>
              <w:jc w:val="center"/>
              <w:rPr>
                <w:rFonts w:cs="Arial"/>
                <w:color w:val="000000"/>
                <w:sz w:val="18"/>
                <w:szCs w:val="18"/>
              </w:rPr>
            </w:pPr>
            <w:r w:rsidRPr="00255174">
              <w:rPr>
                <w:rFonts w:cs="Arial"/>
                <w:color w:val="000000"/>
                <w:sz w:val="18"/>
                <w:szCs w:val="18"/>
              </w:rPr>
              <w:t>H</w:t>
            </w:r>
          </w:p>
        </w:tc>
        <w:tc>
          <w:tcPr>
            <w:tcW w:w="1150" w:type="dxa"/>
            <w:tcBorders>
              <w:top w:val="single" w:sz="4" w:space="0" w:color="auto"/>
              <w:left w:val="nil"/>
              <w:bottom w:val="single" w:sz="4" w:space="0" w:color="auto"/>
              <w:right w:val="single" w:sz="8" w:space="0" w:color="auto"/>
            </w:tcBorders>
            <w:shd w:val="clear" w:color="auto" w:fill="auto"/>
            <w:vAlign w:val="center"/>
            <w:hideMark/>
          </w:tcPr>
          <w:p w14:paraId="2FECD62C" w14:textId="77777777" w:rsidR="003B6CFB" w:rsidRPr="00E558F5" w:rsidRDefault="003B6CFB" w:rsidP="003B6CFB">
            <w:pPr>
              <w:jc w:val="center"/>
              <w:rPr>
                <w:rFonts w:cs="Arial"/>
                <w:sz w:val="18"/>
                <w:szCs w:val="18"/>
              </w:rPr>
            </w:pPr>
            <w:r w:rsidRPr="00E558F5">
              <w:rPr>
                <w:rFonts w:cs="Arial"/>
                <w:sz w:val="18"/>
                <w:szCs w:val="18"/>
              </w:rPr>
              <w:t>162,384</w:t>
            </w:r>
          </w:p>
        </w:tc>
        <w:tc>
          <w:tcPr>
            <w:tcW w:w="1102" w:type="dxa"/>
            <w:tcBorders>
              <w:top w:val="single" w:sz="4" w:space="0" w:color="auto"/>
              <w:left w:val="nil"/>
              <w:bottom w:val="single" w:sz="4" w:space="0" w:color="auto"/>
              <w:right w:val="single" w:sz="8" w:space="0" w:color="auto"/>
            </w:tcBorders>
            <w:shd w:val="clear" w:color="auto" w:fill="auto"/>
            <w:vAlign w:val="center"/>
            <w:hideMark/>
          </w:tcPr>
          <w:p w14:paraId="2BE11AEC" w14:textId="77777777" w:rsidR="003B6CFB" w:rsidRPr="00255174" w:rsidRDefault="003B6CFB" w:rsidP="003B6CFB">
            <w:pPr>
              <w:jc w:val="center"/>
              <w:rPr>
                <w:rFonts w:cs="Arial"/>
                <w:color w:val="000000"/>
                <w:sz w:val="18"/>
                <w:szCs w:val="18"/>
              </w:rPr>
            </w:pPr>
            <w:r w:rsidRPr="00255174">
              <w:rPr>
                <w:rFonts w:cs="Arial"/>
                <w:color w:val="000000"/>
                <w:sz w:val="18"/>
                <w:szCs w:val="18"/>
              </w:rPr>
              <w:t>212,925</w:t>
            </w:r>
          </w:p>
        </w:tc>
        <w:tc>
          <w:tcPr>
            <w:tcW w:w="969" w:type="dxa"/>
            <w:tcBorders>
              <w:top w:val="single" w:sz="4" w:space="0" w:color="auto"/>
              <w:left w:val="nil"/>
              <w:bottom w:val="single" w:sz="4" w:space="0" w:color="auto"/>
              <w:right w:val="single" w:sz="8" w:space="0" w:color="auto"/>
            </w:tcBorders>
            <w:shd w:val="clear" w:color="auto" w:fill="auto"/>
            <w:vAlign w:val="center"/>
            <w:hideMark/>
          </w:tcPr>
          <w:p w14:paraId="75D28767" w14:textId="77777777" w:rsidR="003B6CFB" w:rsidRPr="00255174" w:rsidRDefault="003B6CFB" w:rsidP="003B6CFB">
            <w:pPr>
              <w:jc w:val="center"/>
              <w:rPr>
                <w:rFonts w:cs="Arial"/>
                <w:color w:val="000000"/>
                <w:sz w:val="18"/>
                <w:szCs w:val="18"/>
              </w:rPr>
            </w:pPr>
            <w:r>
              <w:rPr>
                <w:rFonts w:cs="Arial"/>
                <w:color w:val="000000"/>
                <w:sz w:val="18"/>
                <w:szCs w:val="18"/>
              </w:rPr>
              <w:t>58,659</w:t>
            </w:r>
          </w:p>
        </w:tc>
        <w:tc>
          <w:tcPr>
            <w:tcW w:w="978" w:type="dxa"/>
            <w:tcBorders>
              <w:top w:val="single" w:sz="4" w:space="0" w:color="auto"/>
              <w:left w:val="nil"/>
              <w:bottom w:val="single" w:sz="4" w:space="0" w:color="auto"/>
              <w:right w:val="single" w:sz="8" w:space="0" w:color="auto"/>
            </w:tcBorders>
            <w:shd w:val="clear" w:color="auto" w:fill="auto"/>
            <w:vAlign w:val="center"/>
          </w:tcPr>
          <w:p w14:paraId="28A1790C" w14:textId="77777777" w:rsidR="003B6CFB" w:rsidRPr="00255174" w:rsidRDefault="003B6CFB" w:rsidP="003B6CFB">
            <w:pPr>
              <w:jc w:val="center"/>
              <w:rPr>
                <w:rFonts w:cs="Arial"/>
                <w:color w:val="000000"/>
                <w:sz w:val="18"/>
                <w:szCs w:val="18"/>
              </w:rPr>
            </w:pPr>
            <w:r>
              <w:rPr>
                <w:rFonts w:cs="Arial"/>
                <w:color w:val="000000"/>
                <w:sz w:val="18"/>
                <w:szCs w:val="18"/>
              </w:rPr>
              <w:t>64,857</w:t>
            </w:r>
          </w:p>
        </w:tc>
        <w:tc>
          <w:tcPr>
            <w:tcW w:w="978" w:type="dxa"/>
            <w:tcBorders>
              <w:top w:val="single" w:sz="4" w:space="0" w:color="auto"/>
              <w:left w:val="nil"/>
              <w:bottom w:val="single" w:sz="8" w:space="0" w:color="auto"/>
              <w:right w:val="single" w:sz="8" w:space="0" w:color="auto"/>
            </w:tcBorders>
            <w:shd w:val="clear" w:color="000000" w:fill="C6E0B4"/>
            <w:vAlign w:val="center"/>
          </w:tcPr>
          <w:p w14:paraId="55AD9A4C" w14:textId="77777777" w:rsidR="003B6CFB" w:rsidRPr="0091013D" w:rsidRDefault="003B6CFB" w:rsidP="003B6CFB">
            <w:pPr>
              <w:jc w:val="center"/>
              <w:rPr>
                <w:rFonts w:cs="Arial"/>
                <w:sz w:val="18"/>
                <w:szCs w:val="18"/>
              </w:rPr>
            </w:pPr>
            <w:r>
              <w:rPr>
                <w:rFonts w:cs="Arial"/>
                <w:color w:val="000000"/>
                <w:sz w:val="18"/>
                <w:szCs w:val="18"/>
              </w:rPr>
              <w:t>64,779</w:t>
            </w:r>
          </w:p>
        </w:tc>
      </w:tr>
      <w:tr w:rsidR="003B6CFB" w:rsidRPr="00255174" w14:paraId="28132891" w14:textId="77777777" w:rsidTr="003F1E3E">
        <w:trPr>
          <w:gridAfter w:val="5"/>
          <w:wAfter w:w="22665" w:type="dxa"/>
          <w:trHeight w:val="66"/>
        </w:trPr>
        <w:tc>
          <w:tcPr>
            <w:tcW w:w="265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578183A" w14:textId="77777777" w:rsidR="003B6CFB" w:rsidRPr="00255174" w:rsidRDefault="003B6CFB" w:rsidP="003B6CFB">
            <w:pPr>
              <w:rPr>
                <w:rFonts w:cs="Arial"/>
                <w:color w:val="000000"/>
                <w:sz w:val="18"/>
                <w:szCs w:val="18"/>
              </w:rPr>
            </w:pPr>
            <w:r w:rsidRPr="00255174">
              <w:rPr>
                <w:rFonts w:cs="Arial"/>
                <w:color w:val="000000"/>
                <w:sz w:val="18"/>
                <w:szCs w:val="18"/>
              </w:rPr>
              <w:t>Number of library public issues each month</w:t>
            </w:r>
          </w:p>
        </w:tc>
        <w:tc>
          <w:tcPr>
            <w:tcW w:w="1177" w:type="dxa"/>
            <w:tcBorders>
              <w:top w:val="single" w:sz="4" w:space="0" w:color="auto"/>
              <w:left w:val="nil"/>
              <w:bottom w:val="single" w:sz="8" w:space="0" w:color="auto"/>
              <w:right w:val="single" w:sz="8" w:space="0" w:color="auto"/>
            </w:tcBorders>
            <w:shd w:val="clear" w:color="auto" w:fill="auto"/>
            <w:vAlign w:val="center"/>
            <w:hideMark/>
          </w:tcPr>
          <w:p w14:paraId="4B46592A" w14:textId="77777777" w:rsidR="003B6CFB" w:rsidRPr="00255174" w:rsidRDefault="003B6CFB" w:rsidP="003B6CFB">
            <w:pPr>
              <w:jc w:val="center"/>
              <w:rPr>
                <w:rFonts w:cs="Arial"/>
                <w:color w:val="000000"/>
                <w:sz w:val="18"/>
                <w:szCs w:val="18"/>
              </w:rPr>
            </w:pPr>
            <w:r w:rsidRPr="00255174">
              <w:rPr>
                <w:rFonts w:cs="Arial"/>
                <w:color w:val="000000"/>
                <w:sz w:val="18"/>
                <w:szCs w:val="18"/>
              </w:rPr>
              <w:t>H</w:t>
            </w:r>
          </w:p>
        </w:tc>
        <w:tc>
          <w:tcPr>
            <w:tcW w:w="1150" w:type="dxa"/>
            <w:tcBorders>
              <w:top w:val="single" w:sz="4" w:space="0" w:color="auto"/>
              <w:left w:val="nil"/>
              <w:bottom w:val="single" w:sz="8" w:space="0" w:color="auto"/>
              <w:right w:val="single" w:sz="8" w:space="0" w:color="auto"/>
            </w:tcBorders>
            <w:shd w:val="clear" w:color="auto" w:fill="auto"/>
            <w:vAlign w:val="center"/>
            <w:hideMark/>
          </w:tcPr>
          <w:p w14:paraId="64D77DC4" w14:textId="77777777" w:rsidR="003B6CFB" w:rsidRPr="00E558F5" w:rsidRDefault="003B6CFB" w:rsidP="003B6CFB">
            <w:pPr>
              <w:jc w:val="center"/>
              <w:rPr>
                <w:rFonts w:cs="Arial"/>
                <w:sz w:val="18"/>
                <w:szCs w:val="18"/>
              </w:rPr>
            </w:pPr>
            <w:r w:rsidRPr="00E558F5">
              <w:rPr>
                <w:rFonts w:cs="Arial"/>
                <w:sz w:val="18"/>
                <w:szCs w:val="18"/>
              </w:rPr>
              <w:t>4,170,173</w:t>
            </w:r>
          </w:p>
        </w:tc>
        <w:tc>
          <w:tcPr>
            <w:tcW w:w="1102" w:type="dxa"/>
            <w:tcBorders>
              <w:top w:val="single" w:sz="4" w:space="0" w:color="auto"/>
              <w:left w:val="nil"/>
              <w:bottom w:val="single" w:sz="8" w:space="0" w:color="auto"/>
              <w:right w:val="single" w:sz="8" w:space="0" w:color="auto"/>
            </w:tcBorders>
            <w:shd w:val="clear" w:color="auto" w:fill="auto"/>
            <w:vAlign w:val="center"/>
            <w:hideMark/>
          </w:tcPr>
          <w:p w14:paraId="3A00BC6B" w14:textId="77777777" w:rsidR="003B6CFB" w:rsidRPr="00255174" w:rsidRDefault="003B6CFB" w:rsidP="003B6CFB">
            <w:pPr>
              <w:jc w:val="center"/>
              <w:rPr>
                <w:rFonts w:cs="Arial"/>
                <w:color w:val="000000"/>
                <w:sz w:val="18"/>
                <w:szCs w:val="18"/>
              </w:rPr>
            </w:pPr>
            <w:r w:rsidRPr="00255174">
              <w:rPr>
                <w:rFonts w:cs="Arial"/>
                <w:color w:val="000000"/>
                <w:sz w:val="18"/>
                <w:szCs w:val="18"/>
              </w:rPr>
              <w:t>3,622,043</w:t>
            </w:r>
          </w:p>
        </w:tc>
        <w:tc>
          <w:tcPr>
            <w:tcW w:w="969" w:type="dxa"/>
            <w:tcBorders>
              <w:top w:val="single" w:sz="4" w:space="0" w:color="auto"/>
              <w:left w:val="nil"/>
              <w:bottom w:val="single" w:sz="8" w:space="0" w:color="auto"/>
              <w:right w:val="single" w:sz="8" w:space="0" w:color="auto"/>
            </w:tcBorders>
            <w:shd w:val="clear" w:color="auto" w:fill="auto"/>
            <w:vAlign w:val="center"/>
            <w:hideMark/>
          </w:tcPr>
          <w:p w14:paraId="49492425" w14:textId="77777777" w:rsidR="003B6CFB" w:rsidRPr="00255174" w:rsidRDefault="003B6CFB" w:rsidP="003B6CFB">
            <w:pPr>
              <w:jc w:val="center"/>
              <w:rPr>
                <w:rFonts w:cs="Arial"/>
                <w:color w:val="000000"/>
                <w:sz w:val="18"/>
                <w:szCs w:val="18"/>
              </w:rPr>
            </w:pPr>
            <w:r>
              <w:rPr>
                <w:rFonts w:cs="Arial"/>
                <w:color w:val="000000"/>
                <w:sz w:val="18"/>
                <w:szCs w:val="18"/>
              </w:rPr>
              <w:t>891,108</w:t>
            </w:r>
          </w:p>
        </w:tc>
        <w:tc>
          <w:tcPr>
            <w:tcW w:w="978" w:type="dxa"/>
            <w:tcBorders>
              <w:top w:val="single" w:sz="4" w:space="0" w:color="auto"/>
              <w:left w:val="nil"/>
              <w:bottom w:val="single" w:sz="8" w:space="0" w:color="auto"/>
              <w:right w:val="single" w:sz="8" w:space="0" w:color="auto"/>
            </w:tcBorders>
            <w:shd w:val="clear" w:color="auto" w:fill="auto"/>
            <w:vAlign w:val="center"/>
          </w:tcPr>
          <w:p w14:paraId="15FC8007" w14:textId="77777777" w:rsidR="003B6CFB" w:rsidRPr="00255174" w:rsidRDefault="003B6CFB" w:rsidP="003B6CFB">
            <w:pPr>
              <w:jc w:val="center"/>
              <w:rPr>
                <w:rFonts w:cs="Arial"/>
                <w:color w:val="000000"/>
                <w:sz w:val="18"/>
                <w:szCs w:val="18"/>
              </w:rPr>
            </w:pPr>
            <w:r>
              <w:rPr>
                <w:rFonts w:cs="Arial"/>
                <w:color w:val="000000"/>
                <w:sz w:val="18"/>
                <w:szCs w:val="18"/>
              </w:rPr>
              <w:t>967,543</w:t>
            </w:r>
          </w:p>
        </w:tc>
        <w:tc>
          <w:tcPr>
            <w:tcW w:w="978" w:type="dxa"/>
            <w:tcBorders>
              <w:top w:val="single" w:sz="4" w:space="0" w:color="auto"/>
              <w:left w:val="nil"/>
              <w:bottom w:val="single" w:sz="8" w:space="0" w:color="auto"/>
              <w:right w:val="single" w:sz="8" w:space="0" w:color="auto"/>
            </w:tcBorders>
            <w:shd w:val="clear" w:color="000000" w:fill="F8CBAD"/>
            <w:vAlign w:val="center"/>
          </w:tcPr>
          <w:p w14:paraId="12C84531" w14:textId="77777777" w:rsidR="003B6CFB" w:rsidRPr="0091013D" w:rsidRDefault="003B6CFB" w:rsidP="003B6CFB">
            <w:pPr>
              <w:jc w:val="center"/>
              <w:rPr>
                <w:rFonts w:cs="Arial"/>
                <w:sz w:val="18"/>
                <w:szCs w:val="18"/>
              </w:rPr>
            </w:pPr>
            <w:r>
              <w:rPr>
                <w:rFonts w:cs="Arial"/>
                <w:color w:val="000000"/>
                <w:sz w:val="18"/>
                <w:szCs w:val="18"/>
              </w:rPr>
              <w:t>873,920</w:t>
            </w:r>
          </w:p>
        </w:tc>
      </w:tr>
      <w:tr w:rsidR="00B41EDF" w:rsidRPr="00255174" w14:paraId="09CB01B1" w14:textId="77777777" w:rsidTr="00DC29D7">
        <w:trPr>
          <w:gridAfter w:val="5"/>
          <w:wAfter w:w="22665" w:type="dxa"/>
          <w:trHeight w:val="48"/>
        </w:trPr>
        <w:tc>
          <w:tcPr>
            <w:tcW w:w="9005"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02080C42" w14:textId="77777777" w:rsidR="00B41EDF" w:rsidRPr="00255174" w:rsidRDefault="00B41EDF" w:rsidP="00B41EDF">
            <w:pPr>
              <w:rPr>
                <w:rFonts w:cs="Arial"/>
                <w:b/>
                <w:bCs/>
                <w:color w:val="000000"/>
                <w:sz w:val="18"/>
                <w:szCs w:val="18"/>
              </w:rPr>
            </w:pPr>
            <w:r w:rsidRPr="00E558F5">
              <w:rPr>
                <w:rFonts w:cs="Arial"/>
                <w:b/>
                <w:bCs/>
                <w:sz w:val="18"/>
                <w:szCs w:val="18"/>
              </w:rPr>
              <w:t>Planning applications</w:t>
            </w:r>
          </w:p>
        </w:tc>
      </w:tr>
      <w:tr w:rsidR="003B6CFB" w:rsidRPr="00255174" w14:paraId="55FE3650" w14:textId="77777777" w:rsidTr="003F1E3E">
        <w:trPr>
          <w:gridAfter w:val="5"/>
          <w:wAfter w:w="22665" w:type="dxa"/>
          <w:trHeight w:val="60"/>
        </w:trPr>
        <w:tc>
          <w:tcPr>
            <w:tcW w:w="2651" w:type="dxa"/>
            <w:tcBorders>
              <w:top w:val="nil"/>
              <w:left w:val="single" w:sz="8" w:space="0" w:color="auto"/>
              <w:bottom w:val="nil"/>
              <w:right w:val="single" w:sz="8" w:space="0" w:color="auto"/>
            </w:tcBorders>
            <w:shd w:val="clear" w:color="auto" w:fill="auto"/>
            <w:vAlign w:val="center"/>
            <w:hideMark/>
          </w:tcPr>
          <w:p w14:paraId="4C0CA23E" w14:textId="77777777" w:rsidR="003B6CFB" w:rsidRPr="00255174" w:rsidRDefault="003B6CFB" w:rsidP="003B6CFB">
            <w:pPr>
              <w:rPr>
                <w:rFonts w:cs="Arial"/>
                <w:color w:val="000000"/>
                <w:sz w:val="18"/>
                <w:szCs w:val="18"/>
              </w:rPr>
            </w:pPr>
            <w:r w:rsidRPr="00255174">
              <w:rPr>
                <w:rFonts w:cs="Arial"/>
                <w:color w:val="000000"/>
                <w:sz w:val="18"/>
                <w:szCs w:val="18"/>
              </w:rPr>
              <w:t>% of minerals and waste planning applications determined within 13 weeks</w:t>
            </w:r>
          </w:p>
        </w:tc>
        <w:tc>
          <w:tcPr>
            <w:tcW w:w="1177" w:type="dxa"/>
            <w:tcBorders>
              <w:top w:val="nil"/>
              <w:left w:val="nil"/>
              <w:bottom w:val="nil"/>
              <w:right w:val="single" w:sz="8" w:space="0" w:color="auto"/>
            </w:tcBorders>
            <w:shd w:val="clear" w:color="auto" w:fill="auto"/>
            <w:vAlign w:val="center"/>
            <w:hideMark/>
          </w:tcPr>
          <w:p w14:paraId="1BB9052D" w14:textId="77777777" w:rsidR="003B6CFB" w:rsidRPr="00255174" w:rsidRDefault="003B6CFB" w:rsidP="003B6CFB">
            <w:pPr>
              <w:jc w:val="center"/>
              <w:rPr>
                <w:rFonts w:cs="Arial"/>
                <w:color w:val="000000"/>
                <w:sz w:val="18"/>
                <w:szCs w:val="18"/>
              </w:rPr>
            </w:pPr>
            <w:r w:rsidRPr="00255174">
              <w:rPr>
                <w:rFonts w:cs="Arial"/>
                <w:color w:val="000000"/>
                <w:sz w:val="18"/>
                <w:szCs w:val="18"/>
              </w:rPr>
              <w:t>H</w:t>
            </w:r>
          </w:p>
        </w:tc>
        <w:tc>
          <w:tcPr>
            <w:tcW w:w="1150" w:type="dxa"/>
            <w:tcBorders>
              <w:top w:val="nil"/>
              <w:left w:val="nil"/>
              <w:bottom w:val="single" w:sz="8" w:space="0" w:color="auto"/>
              <w:right w:val="single" w:sz="8" w:space="0" w:color="auto"/>
            </w:tcBorders>
            <w:shd w:val="clear" w:color="auto" w:fill="auto"/>
            <w:vAlign w:val="center"/>
            <w:hideMark/>
          </w:tcPr>
          <w:p w14:paraId="24083FAE" w14:textId="77777777" w:rsidR="003B6CFB" w:rsidRPr="00E558F5" w:rsidRDefault="003B6CFB" w:rsidP="003B6CFB">
            <w:pPr>
              <w:jc w:val="center"/>
              <w:rPr>
                <w:rFonts w:cs="Arial"/>
                <w:sz w:val="18"/>
                <w:szCs w:val="18"/>
              </w:rPr>
            </w:pPr>
            <w:r w:rsidRPr="00E558F5">
              <w:rPr>
                <w:rFonts w:cs="Arial"/>
                <w:sz w:val="18"/>
                <w:szCs w:val="18"/>
              </w:rPr>
              <w:t>50% (Q4)</w:t>
            </w:r>
          </w:p>
        </w:tc>
        <w:tc>
          <w:tcPr>
            <w:tcW w:w="1102" w:type="dxa"/>
            <w:tcBorders>
              <w:top w:val="nil"/>
              <w:left w:val="nil"/>
              <w:bottom w:val="single" w:sz="8" w:space="0" w:color="auto"/>
              <w:right w:val="single" w:sz="8" w:space="0" w:color="auto"/>
            </w:tcBorders>
            <w:shd w:val="clear" w:color="auto" w:fill="auto"/>
            <w:vAlign w:val="center"/>
            <w:hideMark/>
          </w:tcPr>
          <w:p w14:paraId="6B7FAFC1" w14:textId="77777777" w:rsidR="003B6CFB" w:rsidRPr="00255174" w:rsidRDefault="003B6CFB" w:rsidP="003B6CFB">
            <w:pPr>
              <w:jc w:val="center"/>
              <w:rPr>
                <w:rFonts w:cs="Arial"/>
                <w:color w:val="000000"/>
                <w:sz w:val="18"/>
                <w:szCs w:val="18"/>
              </w:rPr>
            </w:pPr>
            <w:r w:rsidRPr="00255174">
              <w:rPr>
                <w:rFonts w:cs="Arial"/>
                <w:color w:val="000000"/>
                <w:sz w:val="18"/>
                <w:szCs w:val="18"/>
              </w:rPr>
              <w:t>67%</w:t>
            </w:r>
          </w:p>
        </w:tc>
        <w:tc>
          <w:tcPr>
            <w:tcW w:w="969" w:type="dxa"/>
            <w:tcBorders>
              <w:top w:val="nil"/>
              <w:left w:val="nil"/>
              <w:bottom w:val="single" w:sz="8" w:space="0" w:color="auto"/>
              <w:right w:val="single" w:sz="8" w:space="0" w:color="auto"/>
            </w:tcBorders>
            <w:shd w:val="clear" w:color="auto" w:fill="auto"/>
            <w:vAlign w:val="center"/>
            <w:hideMark/>
          </w:tcPr>
          <w:p w14:paraId="1C866C23" w14:textId="77777777" w:rsidR="003B6CFB" w:rsidRPr="00255174" w:rsidRDefault="003B6CFB" w:rsidP="003B6CFB">
            <w:pPr>
              <w:jc w:val="center"/>
              <w:rPr>
                <w:rFonts w:cs="Arial"/>
                <w:color w:val="000000"/>
                <w:sz w:val="18"/>
                <w:szCs w:val="18"/>
              </w:rPr>
            </w:pPr>
            <w:r>
              <w:rPr>
                <w:rFonts w:cs="Arial"/>
                <w:color w:val="000000"/>
                <w:sz w:val="18"/>
                <w:szCs w:val="18"/>
              </w:rPr>
              <w:t>50</w:t>
            </w:r>
            <w:r w:rsidRPr="00255174">
              <w:rPr>
                <w:rFonts w:cs="Arial"/>
                <w:color w:val="000000"/>
                <w:sz w:val="18"/>
                <w:szCs w:val="18"/>
              </w:rPr>
              <w:t>%</w:t>
            </w:r>
          </w:p>
        </w:tc>
        <w:tc>
          <w:tcPr>
            <w:tcW w:w="978" w:type="dxa"/>
            <w:tcBorders>
              <w:top w:val="nil"/>
              <w:left w:val="nil"/>
              <w:bottom w:val="single" w:sz="8" w:space="0" w:color="auto"/>
              <w:right w:val="single" w:sz="8" w:space="0" w:color="auto"/>
            </w:tcBorders>
            <w:shd w:val="clear" w:color="auto" w:fill="auto"/>
            <w:vAlign w:val="center"/>
          </w:tcPr>
          <w:p w14:paraId="6BEF3947" w14:textId="77777777" w:rsidR="003B6CFB" w:rsidRPr="00255174" w:rsidRDefault="003B6CFB" w:rsidP="003B6CFB">
            <w:pPr>
              <w:jc w:val="center"/>
              <w:rPr>
                <w:rFonts w:cs="Arial"/>
                <w:color w:val="000000"/>
                <w:sz w:val="18"/>
                <w:szCs w:val="18"/>
              </w:rPr>
            </w:pPr>
            <w:r>
              <w:rPr>
                <w:rFonts w:cs="Arial"/>
                <w:color w:val="000000"/>
                <w:sz w:val="18"/>
                <w:szCs w:val="18"/>
              </w:rPr>
              <w:t>57</w:t>
            </w:r>
            <w:r w:rsidRPr="00255174">
              <w:rPr>
                <w:rFonts w:cs="Arial"/>
                <w:color w:val="000000"/>
                <w:sz w:val="18"/>
                <w:szCs w:val="18"/>
              </w:rPr>
              <w:t>%</w:t>
            </w:r>
          </w:p>
        </w:tc>
        <w:tc>
          <w:tcPr>
            <w:tcW w:w="978" w:type="dxa"/>
            <w:tcBorders>
              <w:top w:val="single" w:sz="4" w:space="0" w:color="auto"/>
              <w:left w:val="nil"/>
              <w:bottom w:val="single" w:sz="8" w:space="0" w:color="auto"/>
              <w:right w:val="single" w:sz="8" w:space="0" w:color="auto"/>
            </w:tcBorders>
            <w:shd w:val="clear" w:color="000000" w:fill="C6E0B4"/>
            <w:vAlign w:val="center"/>
          </w:tcPr>
          <w:p w14:paraId="53754C55" w14:textId="77777777" w:rsidR="003B6CFB" w:rsidRDefault="003B6CFB" w:rsidP="003B6CFB">
            <w:pPr>
              <w:jc w:val="center"/>
              <w:rPr>
                <w:rFonts w:cs="Arial"/>
                <w:color w:val="000000"/>
                <w:sz w:val="18"/>
                <w:szCs w:val="18"/>
              </w:rPr>
            </w:pPr>
            <w:r>
              <w:rPr>
                <w:rFonts w:cs="Arial"/>
                <w:color w:val="000000"/>
                <w:sz w:val="18"/>
                <w:szCs w:val="18"/>
              </w:rPr>
              <w:t>71</w:t>
            </w:r>
            <w:r w:rsidRPr="00255174">
              <w:rPr>
                <w:rFonts w:cs="Arial"/>
                <w:color w:val="000000"/>
                <w:sz w:val="18"/>
                <w:szCs w:val="18"/>
              </w:rPr>
              <w:t>%</w:t>
            </w:r>
          </w:p>
        </w:tc>
      </w:tr>
      <w:tr w:rsidR="003B6CFB" w:rsidRPr="00255174" w14:paraId="7919E04E" w14:textId="77777777" w:rsidTr="003F1E3E">
        <w:trPr>
          <w:gridAfter w:val="5"/>
          <w:wAfter w:w="22665" w:type="dxa"/>
          <w:trHeight w:val="177"/>
        </w:trPr>
        <w:tc>
          <w:tcPr>
            <w:tcW w:w="265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4768850" w14:textId="77777777" w:rsidR="003B6CFB" w:rsidRPr="00255174" w:rsidRDefault="003B6CFB" w:rsidP="003B6CFB">
            <w:pPr>
              <w:rPr>
                <w:rFonts w:cs="Arial"/>
                <w:color w:val="000000"/>
                <w:sz w:val="18"/>
                <w:szCs w:val="18"/>
              </w:rPr>
            </w:pPr>
            <w:r w:rsidRPr="00255174">
              <w:rPr>
                <w:rFonts w:cs="Arial"/>
                <w:color w:val="000000"/>
                <w:sz w:val="18"/>
                <w:szCs w:val="18"/>
              </w:rPr>
              <w:t>% of Regulation 3 planning applications determined within 8 weeks</w:t>
            </w:r>
          </w:p>
        </w:tc>
        <w:tc>
          <w:tcPr>
            <w:tcW w:w="1177" w:type="dxa"/>
            <w:tcBorders>
              <w:top w:val="single" w:sz="8" w:space="0" w:color="auto"/>
              <w:left w:val="nil"/>
              <w:bottom w:val="single" w:sz="4" w:space="0" w:color="auto"/>
              <w:right w:val="single" w:sz="8" w:space="0" w:color="auto"/>
            </w:tcBorders>
            <w:shd w:val="clear" w:color="auto" w:fill="auto"/>
            <w:vAlign w:val="center"/>
            <w:hideMark/>
          </w:tcPr>
          <w:p w14:paraId="22581219" w14:textId="77777777" w:rsidR="003B6CFB" w:rsidRPr="00255174" w:rsidRDefault="003B6CFB" w:rsidP="003B6CFB">
            <w:pPr>
              <w:jc w:val="center"/>
              <w:rPr>
                <w:rFonts w:cs="Arial"/>
                <w:color w:val="000000"/>
                <w:sz w:val="18"/>
                <w:szCs w:val="18"/>
              </w:rPr>
            </w:pPr>
            <w:r w:rsidRPr="00255174">
              <w:rPr>
                <w:rFonts w:cs="Arial"/>
                <w:color w:val="000000"/>
                <w:sz w:val="18"/>
                <w:szCs w:val="18"/>
              </w:rPr>
              <w:t>H</w:t>
            </w:r>
          </w:p>
        </w:tc>
        <w:tc>
          <w:tcPr>
            <w:tcW w:w="1150" w:type="dxa"/>
            <w:tcBorders>
              <w:top w:val="nil"/>
              <w:left w:val="nil"/>
              <w:bottom w:val="single" w:sz="4" w:space="0" w:color="auto"/>
              <w:right w:val="single" w:sz="8" w:space="0" w:color="auto"/>
            </w:tcBorders>
            <w:shd w:val="clear" w:color="auto" w:fill="auto"/>
            <w:vAlign w:val="center"/>
            <w:hideMark/>
          </w:tcPr>
          <w:p w14:paraId="27BB02EE" w14:textId="77777777" w:rsidR="003B6CFB" w:rsidRPr="00E558F5" w:rsidRDefault="003B6CFB" w:rsidP="003B6CFB">
            <w:pPr>
              <w:jc w:val="center"/>
              <w:rPr>
                <w:rFonts w:cs="Arial"/>
                <w:sz w:val="18"/>
                <w:szCs w:val="18"/>
              </w:rPr>
            </w:pPr>
            <w:r w:rsidRPr="00E558F5">
              <w:rPr>
                <w:rFonts w:cs="Arial"/>
                <w:sz w:val="18"/>
                <w:szCs w:val="18"/>
              </w:rPr>
              <w:t>56% (Q4)</w:t>
            </w:r>
          </w:p>
        </w:tc>
        <w:tc>
          <w:tcPr>
            <w:tcW w:w="1102" w:type="dxa"/>
            <w:tcBorders>
              <w:top w:val="nil"/>
              <w:left w:val="nil"/>
              <w:bottom w:val="single" w:sz="4" w:space="0" w:color="auto"/>
              <w:right w:val="single" w:sz="8" w:space="0" w:color="auto"/>
            </w:tcBorders>
            <w:shd w:val="clear" w:color="auto" w:fill="auto"/>
            <w:vAlign w:val="center"/>
            <w:hideMark/>
          </w:tcPr>
          <w:p w14:paraId="4C6C20A1" w14:textId="77777777" w:rsidR="003B6CFB" w:rsidRPr="00255174" w:rsidRDefault="003B6CFB" w:rsidP="003B6CFB">
            <w:pPr>
              <w:jc w:val="center"/>
              <w:rPr>
                <w:rFonts w:cs="Arial"/>
                <w:color w:val="000000"/>
                <w:sz w:val="18"/>
                <w:szCs w:val="18"/>
              </w:rPr>
            </w:pPr>
            <w:r w:rsidRPr="00255174">
              <w:rPr>
                <w:rFonts w:cs="Arial"/>
                <w:color w:val="000000"/>
                <w:sz w:val="18"/>
                <w:szCs w:val="18"/>
              </w:rPr>
              <w:t>78%</w:t>
            </w:r>
          </w:p>
        </w:tc>
        <w:tc>
          <w:tcPr>
            <w:tcW w:w="969" w:type="dxa"/>
            <w:tcBorders>
              <w:top w:val="nil"/>
              <w:left w:val="nil"/>
              <w:bottom w:val="single" w:sz="4" w:space="0" w:color="auto"/>
              <w:right w:val="single" w:sz="8" w:space="0" w:color="auto"/>
            </w:tcBorders>
            <w:shd w:val="clear" w:color="auto" w:fill="auto"/>
            <w:vAlign w:val="center"/>
            <w:hideMark/>
          </w:tcPr>
          <w:p w14:paraId="6B2C94DB" w14:textId="77777777" w:rsidR="003B6CFB" w:rsidRPr="00255174" w:rsidRDefault="003B6CFB" w:rsidP="003B6CFB">
            <w:pPr>
              <w:jc w:val="center"/>
              <w:rPr>
                <w:rFonts w:cs="Arial"/>
                <w:color w:val="000000"/>
                <w:sz w:val="18"/>
                <w:szCs w:val="18"/>
              </w:rPr>
            </w:pPr>
            <w:r>
              <w:rPr>
                <w:rFonts w:cs="Arial"/>
                <w:color w:val="000000"/>
                <w:sz w:val="18"/>
                <w:szCs w:val="18"/>
              </w:rPr>
              <w:t>60</w:t>
            </w:r>
            <w:r w:rsidRPr="00255174">
              <w:rPr>
                <w:rFonts w:cs="Arial"/>
                <w:color w:val="000000"/>
                <w:sz w:val="18"/>
                <w:szCs w:val="18"/>
              </w:rPr>
              <w:t>%</w:t>
            </w:r>
          </w:p>
        </w:tc>
        <w:tc>
          <w:tcPr>
            <w:tcW w:w="978" w:type="dxa"/>
            <w:tcBorders>
              <w:top w:val="nil"/>
              <w:left w:val="nil"/>
              <w:bottom w:val="single" w:sz="4" w:space="0" w:color="auto"/>
              <w:right w:val="single" w:sz="8" w:space="0" w:color="auto"/>
            </w:tcBorders>
            <w:shd w:val="clear" w:color="auto" w:fill="auto"/>
            <w:vAlign w:val="center"/>
          </w:tcPr>
          <w:p w14:paraId="285783A1" w14:textId="77777777" w:rsidR="003B6CFB" w:rsidRPr="00255174" w:rsidRDefault="003B6CFB" w:rsidP="003B6CFB">
            <w:pPr>
              <w:jc w:val="center"/>
              <w:rPr>
                <w:rFonts w:cs="Arial"/>
                <w:color w:val="000000"/>
                <w:sz w:val="18"/>
                <w:szCs w:val="18"/>
              </w:rPr>
            </w:pPr>
            <w:r>
              <w:rPr>
                <w:rFonts w:cs="Arial"/>
                <w:color w:val="000000"/>
                <w:sz w:val="18"/>
                <w:szCs w:val="18"/>
              </w:rPr>
              <w:t>80</w:t>
            </w:r>
            <w:r w:rsidRPr="00255174">
              <w:rPr>
                <w:rFonts w:cs="Arial"/>
                <w:color w:val="000000"/>
                <w:sz w:val="18"/>
                <w:szCs w:val="18"/>
              </w:rPr>
              <w:t>%</w:t>
            </w:r>
          </w:p>
        </w:tc>
        <w:tc>
          <w:tcPr>
            <w:tcW w:w="978" w:type="dxa"/>
            <w:tcBorders>
              <w:top w:val="single" w:sz="4" w:space="0" w:color="auto"/>
              <w:left w:val="nil"/>
              <w:bottom w:val="single" w:sz="4" w:space="0" w:color="auto"/>
              <w:right w:val="single" w:sz="8" w:space="0" w:color="auto"/>
            </w:tcBorders>
            <w:shd w:val="clear" w:color="000000" w:fill="C6E0B4"/>
            <w:vAlign w:val="center"/>
          </w:tcPr>
          <w:p w14:paraId="40618AE2" w14:textId="77777777" w:rsidR="003B6CFB" w:rsidRDefault="003B6CFB" w:rsidP="003B6CFB">
            <w:pPr>
              <w:jc w:val="center"/>
              <w:rPr>
                <w:rFonts w:cs="Arial"/>
                <w:color w:val="000000"/>
                <w:sz w:val="18"/>
                <w:szCs w:val="18"/>
              </w:rPr>
            </w:pPr>
            <w:r>
              <w:rPr>
                <w:rFonts w:cs="Arial"/>
                <w:color w:val="000000"/>
                <w:sz w:val="18"/>
                <w:szCs w:val="18"/>
              </w:rPr>
              <w:t>45</w:t>
            </w:r>
            <w:r w:rsidRPr="00255174">
              <w:rPr>
                <w:rFonts w:cs="Arial"/>
                <w:color w:val="000000"/>
                <w:sz w:val="18"/>
                <w:szCs w:val="18"/>
              </w:rPr>
              <w:t>%</w:t>
            </w:r>
          </w:p>
        </w:tc>
      </w:tr>
    </w:tbl>
    <w:p w14:paraId="3EFC1821" w14:textId="77777777" w:rsidR="00E16D76" w:rsidRDefault="00E16D76" w:rsidP="00D73912">
      <w:pPr>
        <w:rPr>
          <w:rFonts w:ascii="Calibri" w:hAnsi="Calibri"/>
          <w:color w:val="FF0000"/>
          <w:sz w:val="22"/>
        </w:rPr>
      </w:pPr>
    </w:p>
    <w:p w14:paraId="76324CAB" w14:textId="3F4D4B46" w:rsidR="00494E88" w:rsidRPr="000B7F45" w:rsidRDefault="00494E88" w:rsidP="000A5AB7">
      <w:pPr>
        <w:jc w:val="both"/>
        <w:rPr>
          <w:i/>
        </w:rPr>
      </w:pPr>
      <w:r>
        <w:rPr>
          <w:i/>
        </w:rPr>
        <w:t>Highways</w:t>
      </w:r>
      <w:r w:rsidR="000B7F45">
        <w:rPr>
          <w:i/>
        </w:rPr>
        <w:t xml:space="preserve"> and</w:t>
      </w:r>
      <w:r w:rsidR="000B7F45" w:rsidRPr="000B7F45">
        <w:rPr>
          <w:i/>
        </w:rPr>
        <w:t xml:space="preserve"> </w:t>
      </w:r>
      <w:r w:rsidR="000B7F45">
        <w:rPr>
          <w:i/>
        </w:rPr>
        <w:t xml:space="preserve">Street lighting </w:t>
      </w:r>
    </w:p>
    <w:p w14:paraId="30993C50" w14:textId="78A14A43" w:rsidR="00235233" w:rsidRDefault="00235233" w:rsidP="000A5AB7">
      <w:pPr>
        <w:jc w:val="both"/>
      </w:pPr>
      <w:r>
        <w:t xml:space="preserve">The migration to </w:t>
      </w:r>
      <w:r w:rsidR="00B41446">
        <w:t xml:space="preserve">the </w:t>
      </w:r>
      <w:r>
        <w:t>H</w:t>
      </w:r>
      <w:r w:rsidR="00B41446">
        <w:t xml:space="preserve">ighways </w:t>
      </w:r>
      <w:r>
        <w:t>A</w:t>
      </w:r>
      <w:r w:rsidR="00B41446">
        <w:t xml:space="preserve">sset </w:t>
      </w:r>
      <w:r>
        <w:t>M</w:t>
      </w:r>
      <w:r w:rsidR="00B41446">
        <w:t xml:space="preserve">anagement </w:t>
      </w:r>
      <w:r>
        <w:t>S</w:t>
      </w:r>
      <w:r w:rsidR="00B41446">
        <w:t>ystem</w:t>
      </w:r>
      <w:r>
        <w:t xml:space="preserve"> has brought some difficulties for both Highway Asset and Highway Services in respect of mon</w:t>
      </w:r>
      <w:r w:rsidR="008B76D3">
        <w:t xml:space="preserve">itoring and managing </w:t>
      </w:r>
      <w:r>
        <w:t xml:space="preserve">pothole and street lighting faults.  Processes are now in place where faults that are soon to exceed their respective targets are flagged to appropriate staff so that action can be taken at an early opportunity.  </w:t>
      </w:r>
    </w:p>
    <w:p w14:paraId="0F9F1BD0" w14:textId="77777777" w:rsidR="000B7F45" w:rsidRPr="00D60289" w:rsidRDefault="000B7F45" w:rsidP="000A5AB7">
      <w:pPr>
        <w:jc w:val="both"/>
        <w:rPr>
          <w:i/>
          <w:color w:val="FF0000"/>
          <w:szCs w:val="24"/>
        </w:rPr>
      </w:pPr>
    </w:p>
    <w:p w14:paraId="2166431E" w14:textId="423CD36F" w:rsidR="005131AE" w:rsidRPr="00B41446" w:rsidRDefault="000B7F45" w:rsidP="000A5AB7">
      <w:pPr>
        <w:jc w:val="both"/>
        <w:rPr>
          <w:i/>
        </w:rPr>
      </w:pPr>
      <w:r w:rsidRPr="00B41446">
        <w:rPr>
          <w:rFonts w:cs="Arial"/>
          <w:i/>
        </w:rPr>
        <w:t>H</w:t>
      </w:r>
      <w:r w:rsidR="0058373C" w:rsidRPr="00B41446">
        <w:rPr>
          <w:rFonts w:cs="Arial"/>
          <w:i/>
        </w:rPr>
        <w:t>ighway d</w:t>
      </w:r>
      <w:r w:rsidRPr="00B41446">
        <w:rPr>
          <w:rFonts w:cs="Arial"/>
          <w:i/>
        </w:rPr>
        <w:t>efects</w:t>
      </w:r>
    </w:p>
    <w:p w14:paraId="09C5CCFD" w14:textId="77777777" w:rsidR="000B7F45" w:rsidRDefault="000B7F45" w:rsidP="000A5AB7">
      <w:pPr>
        <w:jc w:val="both"/>
      </w:pPr>
      <w:r>
        <w:t>The approved highways defect repair policy was implemented during quarter 2 2018/19, meaning that reporting changed in accordance with that policy. As a result, there is no Q1 or Q2 data in respect of highway safety carriageway defects repaired within the new policy response time standards.</w:t>
      </w:r>
    </w:p>
    <w:p w14:paraId="05574B33" w14:textId="77777777" w:rsidR="000B7F45" w:rsidRDefault="000B7F45" w:rsidP="000A5AB7">
      <w:pPr>
        <w:jc w:val="both"/>
      </w:pPr>
    </w:p>
    <w:p w14:paraId="1055886F" w14:textId="5EAAD71C" w:rsidR="000B7F45" w:rsidRDefault="0058373C" w:rsidP="000A5AB7">
      <w:pPr>
        <w:jc w:val="both"/>
        <w:rPr>
          <w:szCs w:val="24"/>
        </w:rPr>
      </w:pPr>
      <w:r>
        <w:rPr>
          <w:szCs w:val="24"/>
        </w:rPr>
        <w:t>Since monitoring against the new response standard</w:t>
      </w:r>
      <w:r w:rsidR="00B41446">
        <w:rPr>
          <w:szCs w:val="24"/>
        </w:rPr>
        <w:t>,</w:t>
      </w:r>
      <w:r w:rsidR="000B7F45" w:rsidRPr="00596F00">
        <w:rPr>
          <w:szCs w:val="24"/>
        </w:rPr>
        <w:t xml:space="preserve"> </w:t>
      </w:r>
      <w:r>
        <w:rPr>
          <w:szCs w:val="24"/>
        </w:rPr>
        <w:t xml:space="preserve">a </w:t>
      </w:r>
      <w:r w:rsidR="000B7F45" w:rsidRPr="00596F00">
        <w:rPr>
          <w:szCs w:val="24"/>
        </w:rPr>
        <w:t>defect reporting issue was identified with the 4hr and 2 day defects which affected response times, however this has now been addressed which should improve future performance figures.</w:t>
      </w:r>
    </w:p>
    <w:p w14:paraId="4109B2C0" w14:textId="77777777" w:rsidR="000B7F45" w:rsidRDefault="000B7F45" w:rsidP="000A5AB7">
      <w:pPr>
        <w:jc w:val="both"/>
        <w:rPr>
          <w:szCs w:val="24"/>
        </w:rPr>
      </w:pPr>
    </w:p>
    <w:p w14:paraId="2CDFA735" w14:textId="0010A5FD" w:rsidR="007A4968" w:rsidRDefault="007A4968" w:rsidP="000A5AB7">
      <w:pPr>
        <w:jc w:val="both"/>
        <w:rPr>
          <w:rFonts w:cs="Arial"/>
          <w:szCs w:val="24"/>
        </w:rPr>
      </w:pPr>
      <w:r>
        <w:t>Many of the five day defects require extensive traffic management due to the road type and location.  In order to improve response times, meetings are now scheduled each month countywide between operations staff and H</w:t>
      </w:r>
      <w:r w:rsidR="00CE2001">
        <w:t xml:space="preserve">ighways </w:t>
      </w:r>
      <w:r>
        <w:t>S</w:t>
      </w:r>
      <w:r w:rsidR="00CE2001">
        <w:t xml:space="preserve">afety </w:t>
      </w:r>
      <w:r>
        <w:t xml:space="preserve">inspectors to plan the inspection programme for the month and identify defects requiring traffic management. The countywide traffic management contract has recently been renewed following a procurement exercise, and the availability of traffic management will be improved.   </w:t>
      </w:r>
    </w:p>
    <w:p w14:paraId="00EC9D27" w14:textId="77777777" w:rsidR="000B7F45" w:rsidRDefault="000B7F45" w:rsidP="000A5AB7">
      <w:pPr>
        <w:jc w:val="both"/>
      </w:pPr>
    </w:p>
    <w:p w14:paraId="134DA4E2" w14:textId="6463D242" w:rsidR="000B7F45" w:rsidRDefault="0058373C" w:rsidP="000A5AB7">
      <w:pPr>
        <w:jc w:val="both"/>
        <w:rPr>
          <w:i/>
        </w:rPr>
      </w:pPr>
      <w:r>
        <w:rPr>
          <w:i/>
        </w:rPr>
        <w:t>Street lighting</w:t>
      </w:r>
    </w:p>
    <w:p w14:paraId="5B946BA0" w14:textId="5D861E48" w:rsidR="0058373C" w:rsidRPr="0058373C" w:rsidRDefault="0058373C" w:rsidP="000A5AB7">
      <w:pPr>
        <w:jc w:val="both"/>
        <w:rPr>
          <w:rFonts w:cs="Arial"/>
          <w:i/>
          <w:iCs/>
          <w:szCs w:val="24"/>
        </w:rPr>
      </w:pPr>
      <w:r w:rsidRPr="0058373C">
        <w:t>The combination of changes to inspections, routine maintenance and public reporting have resulted in changes to the profile of faults resulting in different resourcing requirements. Changes to the resourcing and procurement arrangements have been made to better match this profile e</w:t>
      </w:r>
      <w:r w:rsidR="00D71908">
        <w:t>.</w:t>
      </w:r>
      <w:r w:rsidRPr="0058373C">
        <w:t>g</w:t>
      </w:r>
      <w:r w:rsidR="00D71908">
        <w:t>.</w:t>
      </w:r>
      <w:r w:rsidRPr="0058373C">
        <w:t xml:space="preserve"> Traffic management contracts have been amended to have additional providers available for peaks in faults over the winter period. In addition over the next 18 months the number of faults will reduce as the remaining 38,000 conventional units are converted to LED.</w:t>
      </w:r>
    </w:p>
    <w:p w14:paraId="24BB2D86" w14:textId="77777777" w:rsidR="000B7F45" w:rsidRDefault="000B7F45" w:rsidP="000A5AB7">
      <w:pPr>
        <w:jc w:val="both"/>
        <w:rPr>
          <w:i/>
        </w:rPr>
      </w:pPr>
    </w:p>
    <w:p w14:paraId="6B29A073" w14:textId="77777777" w:rsidR="00B018BC" w:rsidRPr="009A17E1" w:rsidRDefault="00B018BC" w:rsidP="000A5AB7">
      <w:pPr>
        <w:jc w:val="both"/>
        <w:rPr>
          <w:rFonts w:ascii="Calibri" w:hAnsi="Calibri"/>
          <w:sz w:val="22"/>
        </w:rPr>
      </w:pPr>
      <w:r w:rsidRPr="00B018BC">
        <w:rPr>
          <w:i/>
        </w:rPr>
        <w:t>Waste management</w:t>
      </w:r>
    </w:p>
    <w:p w14:paraId="36FD51B7" w14:textId="77777777" w:rsidR="00023C99" w:rsidRPr="00DC4359" w:rsidRDefault="00DC4359" w:rsidP="000A5AB7">
      <w:pPr>
        <w:jc w:val="both"/>
        <w:rPr>
          <w:rFonts w:cs="Arial"/>
          <w:szCs w:val="24"/>
          <w:highlight w:val="yellow"/>
        </w:rPr>
      </w:pPr>
      <w:r w:rsidRPr="00DC4359">
        <w:rPr>
          <w:rFonts w:cs="Arial"/>
          <w:szCs w:val="24"/>
        </w:rPr>
        <w:t>The Recycling rate compared to Q2 (18/19) remains consistent, having seen reductions in tonnages across all waste streams.  Residual waste at kerbside continues to see increases, albeit lower than originally forecast with the current out-turn predicting to be up by half a percent compared to the 2017/18 position.</w:t>
      </w:r>
    </w:p>
    <w:p w14:paraId="2F34AFB9" w14:textId="77777777" w:rsidR="00DC4359" w:rsidRDefault="00DC4359" w:rsidP="000A5AB7">
      <w:pPr>
        <w:jc w:val="both"/>
        <w:rPr>
          <w:rFonts w:cs="Arial"/>
          <w:color w:val="FF0000"/>
          <w:szCs w:val="24"/>
        </w:rPr>
      </w:pPr>
    </w:p>
    <w:p w14:paraId="134628AC" w14:textId="77777777" w:rsidR="00023C99" w:rsidRPr="00DC4359" w:rsidRDefault="00023C99" w:rsidP="000A5AB7">
      <w:pPr>
        <w:jc w:val="both"/>
        <w:rPr>
          <w:rFonts w:cs="Arial"/>
          <w:szCs w:val="24"/>
        </w:rPr>
      </w:pPr>
      <w:r w:rsidRPr="00DC4359">
        <w:rPr>
          <w:rFonts w:cs="Arial"/>
          <w:szCs w:val="24"/>
        </w:rPr>
        <w:t>Percentage of waste re-used, recycled, composted and recovered:</w:t>
      </w:r>
    </w:p>
    <w:p w14:paraId="7493C277" w14:textId="683676CA" w:rsidR="00DC4359" w:rsidRDefault="00DC4359" w:rsidP="000A5AB7">
      <w:pPr>
        <w:jc w:val="both"/>
        <w:rPr>
          <w:rFonts w:cs="Arial"/>
          <w:szCs w:val="24"/>
        </w:rPr>
      </w:pPr>
      <w:r w:rsidRPr="00DC4359">
        <w:rPr>
          <w:rFonts w:cs="Arial"/>
          <w:szCs w:val="24"/>
        </w:rPr>
        <w:t xml:space="preserve">Mass loss operations have resulted in better performance at Thornton Waste Treatment facility which </w:t>
      </w:r>
      <w:r>
        <w:rPr>
          <w:rFonts w:cs="Arial"/>
          <w:szCs w:val="24"/>
        </w:rPr>
        <w:t xml:space="preserve">is contributing to the </w:t>
      </w:r>
      <w:r w:rsidRPr="00DC4359">
        <w:rPr>
          <w:rFonts w:cs="Arial"/>
          <w:szCs w:val="24"/>
        </w:rPr>
        <w:t xml:space="preserve">continued increased % rate, benefiting from less tonnes to landfill and increased diversion.  Now that we have secured an outlet for the processed material, it has also allowed us to increase throughput at our </w:t>
      </w:r>
      <w:proofErr w:type="spellStart"/>
      <w:r w:rsidRPr="00DC4359">
        <w:rPr>
          <w:rFonts w:cs="Arial"/>
          <w:szCs w:val="24"/>
        </w:rPr>
        <w:t>Farington</w:t>
      </w:r>
      <w:proofErr w:type="spellEnd"/>
      <w:r w:rsidRPr="00DC4359">
        <w:rPr>
          <w:rFonts w:cs="Arial"/>
          <w:szCs w:val="24"/>
        </w:rPr>
        <w:t xml:space="preserve"> Waste Treatment facility.  The mass-loss operation at Thornton has now proved successful enough to become ongoing operational practice.</w:t>
      </w:r>
    </w:p>
    <w:p w14:paraId="1B1E59FF" w14:textId="77777777" w:rsidR="007A4968" w:rsidRDefault="007A4968" w:rsidP="000A5AB7">
      <w:pPr>
        <w:jc w:val="both"/>
        <w:rPr>
          <w:rFonts w:cs="Arial"/>
          <w:szCs w:val="24"/>
        </w:rPr>
      </w:pPr>
    </w:p>
    <w:p w14:paraId="766F58E3" w14:textId="77777777" w:rsidR="007A4968" w:rsidRDefault="007A4968" w:rsidP="000A5AB7">
      <w:pPr>
        <w:jc w:val="both"/>
        <w:rPr>
          <w:rFonts w:cs="Arial"/>
          <w:szCs w:val="24"/>
        </w:rPr>
      </w:pPr>
    </w:p>
    <w:p w14:paraId="28B1E0B8" w14:textId="77777777" w:rsidR="007A4968" w:rsidRPr="00E16D76" w:rsidRDefault="007A4968" w:rsidP="000A5AB7">
      <w:pPr>
        <w:jc w:val="both"/>
      </w:pPr>
    </w:p>
    <w:p w14:paraId="639850EE" w14:textId="77777777" w:rsidR="00F10319" w:rsidRDefault="00291F18" w:rsidP="000A5AB7">
      <w:pPr>
        <w:jc w:val="both"/>
        <w:rPr>
          <w:i/>
        </w:rPr>
      </w:pPr>
      <w:r w:rsidRPr="00602B43">
        <w:rPr>
          <w:i/>
        </w:rPr>
        <w:t>Libraries and museums</w:t>
      </w:r>
      <w:r w:rsidR="00F10319">
        <w:rPr>
          <w:i/>
        </w:rPr>
        <w:t xml:space="preserve"> </w:t>
      </w:r>
    </w:p>
    <w:p w14:paraId="6565A47C" w14:textId="77777777" w:rsidR="003B6CFB" w:rsidRDefault="0091013D" w:rsidP="000A5AB7">
      <w:pPr>
        <w:jc w:val="both"/>
        <w:rPr>
          <w:rFonts w:cs="Arial"/>
          <w:color w:val="000000"/>
          <w:sz w:val="22"/>
        </w:rPr>
      </w:pPr>
      <w:r w:rsidRPr="009B2607">
        <w:t>Visitor numbers to libraries and museums as well as e-book downl</w:t>
      </w:r>
      <w:r w:rsidR="009B2607" w:rsidRPr="009B2607">
        <w:t xml:space="preserve">oads and library public issues fell </w:t>
      </w:r>
      <w:r w:rsidRPr="009B2607">
        <w:t xml:space="preserve">in December 2018. </w:t>
      </w:r>
      <w:r w:rsidR="009B2607" w:rsidRPr="009B2607">
        <w:t xml:space="preserve"> </w:t>
      </w:r>
      <w:r w:rsidR="009B2607" w:rsidRPr="009B2607">
        <w:rPr>
          <w:rFonts w:cs="Arial"/>
        </w:rPr>
        <w:t>Most of the decreases are not significant</w:t>
      </w:r>
      <w:r w:rsidR="00CE2949" w:rsidRPr="009B2607">
        <w:rPr>
          <w:rFonts w:cs="Arial"/>
        </w:rPr>
        <w:t>, and</w:t>
      </w:r>
      <w:r w:rsidR="009B2607" w:rsidRPr="009B2607">
        <w:rPr>
          <w:rFonts w:cs="Arial"/>
        </w:rPr>
        <w:t xml:space="preserve"> due to seasonal trends/the effect of Christmas closing.</w:t>
      </w:r>
      <w:r w:rsidR="003B6CFB" w:rsidRPr="003B6CFB">
        <w:rPr>
          <w:rFonts w:cs="Arial"/>
          <w:color w:val="000000"/>
        </w:rPr>
        <w:t xml:space="preserve"> </w:t>
      </w:r>
      <w:r w:rsidR="003B6CFB">
        <w:rPr>
          <w:rFonts w:cs="Arial"/>
          <w:color w:val="000000"/>
        </w:rPr>
        <w:t xml:space="preserve"> With a significantly reduced portfolio of museums comparing the year end 2018/19 visitor figures with previous years will not be meaningful, as it does not reflect the performance of the remaining museum sites.</w:t>
      </w:r>
    </w:p>
    <w:p w14:paraId="076403B7" w14:textId="77777777" w:rsidR="0091013D" w:rsidRPr="009B2607" w:rsidRDefault="0091013D" w:rsidP="000A5AB7">
      <w:pPr>
        <w:jc w:val="both"/>
      </w:pPr>
    </w:p>
    <w:p w14:paraId="22EF2EB7" w14:textId="77777777" w:rsidR="003B6CFB" w:rsidRDefault="009B2607" w:rsidP="000A5AB7">
      <w:pPr>
        <w:jc w:val="both"/>
        <w:rPr>
          <w:rFonts w:cs="Arial"/>
        </w:rPr>
      </w:pPr>
      <w:r w:rsidRPr="009B2607">
        <w:rPr>
          <w:rFonts w:cs="Arial"/>
        </w:rPr>
        <w:t xml:space="preserve">The main factor for the large drop in museum visits was the return of 3 museums (Lancaster City Museum, Lancaster Maritime Museum and the Cottage Museum) to Lancaster City Council on 1 October 2018 at the end of the management agreement that had been in place between both councils since 2003.  The City Museum has high footfall throughout the year and will account for most of the reduction in numbers.  In addition, </w:t>
      </w:r>
      <w:proofErr w:type="spellStart"/>
      <w:r w:rsidRPr="009B2607">
        <w:rPr>
          <w:rFonts w:cs="Arial"/>
        </w:rPr>
        <w:t>Helmshore</w:t>
      </w:r>
      <w:proofErr w:type="spellEnd"/>
      <w:r w:rsidRPr="009B2607">
        <w:rPr>
          <w:rFonts w:cs="Arial"/>
        </w:rPr>
        <w:t xml:space="preserve"> Museum closed at the end of October 2018 at the end of its summer opening season and will re-open on 29 March 2019.</w:t>
      </w:r>
    </w:p>
    <w:p w14:paraId="4CDFF4E7" w14:textId="77777777" w:rsidR="00902461" w:rsidRDefault="00902461" w:rsidP="000A5AB7">
      <w:pPr>
        <w:jc w:val="both"/>
        <w:rPr>
          <w:rFonts w:cs="Arial"/>
          <w:sz w:val="22"/>
        </w:rPr>
      </w:pPr>
    </w:p>
    <w:p w14:paraId="46C31444" w14:textId="77777777" w:rsidR="00291F18" w:rsidRPr="003B6CFB" w:rsidRDefault="00B018BC" w:rsidP="000A5AB7">
      <w:pPr>
        <w:jc w:val="both"/>
        <w:rPr>
          <w:rFonts w:cs="Arial"/>
          <w:sz w:val="22"/>
        </w:rPr>
      </w:pPr>
      <w:r w:rsidRPr="00B018BC">
        <w:rPr>
          <w:i/>
        </w:rPr>
        <w:t>Planning</w:t>
      </w:r>
    </w:p>
    <w:p w14:paraId="44ED4015" w14:textId="77777777" w:rsidR="00C74844" w:rsidRDefault="00DC4359" w:rsidP="000A5AB7">
      <w:pPr>
        <w:jc w:val="both"/>
        <w:rPr>
          <w:rFonts w:cs="Arial"/>
          <w:szCs w:val="24"/>
        </w:rPr>
      </w:pPr>
      <w:r w:rsidRPr="00C74844">
        <w:rPr>
          <w:rFonts w:cs="Arial"/>
          <w:szCs w:val="24"/>
        </w:rPr>
        <w:t>In quarter 3</w:t>
      </w:r>
      <w:r w:rsidR="00023C99" w:rsidRPr="00C74844">
        <w:rPr>
          <w:rFonts w:cs="Arial"/>
          <w:szCs w:val="24"/>
        </w:rPr>
        <w:t xml:space="preserve"> 2018-19, a total of 7 County matter applicat</w:t>
      </w:r>
      <w:r w:rsidRPr="00C74844">
        <w:rPr>
          <w:rFonts w:cs="Arial"/>
          <w:szCs w:val="24"/>
        </w:rPr>
        <w:t xml:space="preserve">ions were determined, of </w:t>
      </w:r>
      <w:r w:rsidRPr="001E2906">
        <w:rPr>
          <w:rFonts w:cs="Arial"/>
          <w:szCs w:val="24"/>
        </w:rPr>
        <w:t>which 5 (71</w:t>
      </w:r>
      <w:r w:rsidR="00023C99" w:rsidRPr="001E2906">
        <w:rPr>
          <w:rFonts w:cs="Arial"/>
          <w:szCs w:val="24"/>
        </w:rPr>
        <w:t>%) were determined within the 13 week decision period.</w:t>
      </w:r>
      <w:r w:rsidRPr="001E2906">
        <w:rPr>
          <w:rFonts w:cs="Arial"/>
          <w:szCs w:val="24"/>
        </w:rPr>
        <w:t xml:space="preserve">  </w:t>
      </w:r>
      <w:r w:rsidR="00C74844" w:rsidRPr="001E2906">
        <w:rPr>
          <w:rFonts w:cs="Arial"/>
          <w:szCs w:val="24"/>
        </w:rPr>
        <w:t>The two other applications determined outside this period were Cl</w:t>
      </w:r>
      <w:r w:rsidR="003E51D4" w:rsidRPr="001E2906">
        <w:rPr>
          <w:rFonts w:cs="Arial"/>
          <w:szCs w:val="24"/>
        </w:rPr>
        <w:t>ifton March Waste Water Treatment Works (WWTW)</w:t>
      </w:r>
      <w:r w:rsidR="00C74844" w:rsidRPr="001E2906">
        <w:rPr>
          <w:rFonts w:cs="Arial"/>
          <w:szCs w:val="24"/>
        </w:rPr>
        <w:t>, which was subject to a unilateral agreement, and Westby Landfill.</w:t>
      </w:r>
    </w:p>
    <w:p w14:paraId="1141827E" w14:textId="77777777" w:rsidR="00875B30" w:rsidRPr="00C74844" w:rsidRDefault="00875B30" w:rsidP="000A5AB7">
      <w:pPr>
        <w:jc w:val="both"/>
        <w:rPr>
          <w:rFonts w:cs="Arial"/>
          <w:szCs w:val="24"/>
        </w:rPr>
      </w:pPr>
    </w:p>
    <w:p w14:paraId="5CC03520" w14:textId="2DF1AFCC" w:rsidR="00C74844" w:rsidRPr="00C74844" w:rsidRDefault="00DC4359" w:rsidP="000A5AB7">
      <w:pPr>
        <w:jc w:val="both"/>
        <w:rPr>
          <w:rFonts w:cs="Arial"/>
          <w:szCs w:val="24"/>
        </w:rPr>
      </w:pPr>
      <w:r w:rsidRPr="00C74844">
        <w:t>9</w:t>
      </w:r>
      <w:r w:rsidR="00023C99" w:rsidRPr="00C74844">
        <w:t xml:space="preserve"> applications for LCC's own Regulation 3 developm</w:t>
      </w:r>
      <w:r w:rsidRPr="00C74844">
        <w:t>ent were determined in quarter 3 2018-19.  4 (44</w:t>
      </w:r>
      <w:r w:rsidR="00023C99" w:rsidRPr="00C74844">
        <w:t>%) of these</w:t>
      </w:r>
      <w:r w:rsidR="00C74844" w:rsidRPr="00C74844">
        <w:t xml:space="preserve"> were determined within 8 weeks.  </w:t>
      </w:r>
      <w:r w:rsidR="00C74844" w:rsidRPr="00C74844">
        <w:rPr>
          <w:rFonts w:cs="Arial"/>
          <w:szCs w:val="24"/>
        </w:rPr>
        <w:t>Two of the applications determined outside 8 weeks were subject to Section106 agreements (Grace mire</w:t>
      </w:r>
      <w:r w:rsidR="009477C0">
        <w:rPr>
          <w:rFonts w:cs="Arial"/>
          <w:szCs w:val="24"/>
        </w:rPr>
        <w:t xml:space="preserve"> </w:t>
      </w:r>
      <w:r w:rsidR="00C74844" w:rsidRPr="00C74844">
        <w:rPr>
          <w:rFonts w:cs="Arial"/>
          <w:szCs w:val="24"/>
        </w:rPr>
        <w:t xml:space="preserve">Farm and the Preston Western Distributor Road Scheme).  The remaining three determined outside 8 weeks were agreed with the applicant.  The 8 week target is a discretionary target used for district schemes but applied to </w:t>
      </w:r>
      <w:r w:rsidR="000A5AB7">
        <w:rPr>
          <w:rFonts w:cs="Arial"/>
          <w:szCs w:val="24"/>
        </w:rPr>
        <w:t>Lancashire County Council's</w:t>
      </w:r>
      <w:r w:rsidR="00C74844" w:rsidRPr="00C74844">
        <w:rPr>
          <w:rFonts w:cs="Arial"/>
          <w:szCs w:val="24"/>
        </w:rPr>
        <w:t xml:space="preserve"> own schemes in the absence of a national target.</w:t>
      </w:r>
    </w:p>
    <w:p w14:paraId="34E0BF03" w14:textId="77777777" w:rsidR="00A4799D" w:rsidRDefault="00A4799D" w:rsidP="000A5AB7">
      <w:pPr>
        <w:jc w:val="both"/>
        <w:rPr>
          <w:b/>
        </w:rPr>
      </w:pPr>
    </w:p>
    <w:p w14:paraId="5834E52E" w14:textId="77777777" w:rsidR="007E5A4C" w:rsidRPr="00D2787B" w:rsidRDefault="007E5A4C" w:rsidP="000A5AB7">
      <w:pPr>
        <w:jc w:val="both"/>
        <w:rPr>
          <w:b/>
          <w:color w:val="0070C0"/>
        </w:rPr>
      </w:pPr>
      <w:r w:rsidRPr="00D2787B">
        <w:rPr>
          <w:b/>
        </w:rPr>
        <w:t xml:space="preserve">Adult Services and Public Health </w:t>
      </w:r>
    </w:p>
    <w:p w14:paraId="0048FCF7" w14:textId="77777777" w:rsidR="007E5A4C" w:rsidRPr="00D2787B" w:rsidRDefault="007E5A4C" w:rsidP="000A5AB7">
      <w:pPr>
        <w:spacing w:after="160" w:line="259" w:lineRule="auto"/>
        <w:contextualSpacing/>
        <w:jc w:val="both"/>
        <w:rPr>
          <w:b/>
        </w:rPr>
      </w:pPr>
    </w:p>
    <w:p w14:paraId="0B1D4EC0" w14:textId="77777777" w:rsidR="007E5A4C" w:rsidRDefault="007E5A4C" w:rsidP="000A5AB7">
      <w:pPr>
        <w:spacing w:after="160" w:line="259" w:lineRule="auto"/>
        <w:contextualSpacing/>
        <w:jc w:val="both"/>
        <w:rPr>
          <w:i/>
          <w:sz w:val="18"/>
          <w:szCs w:val="18"/>
        </w:rPr>
      </w:pPr>
      <w:r w:rsidRPr="00D2787B">
        <w:rPr>
          <w:i/>
          <w:sz w:val="18"/>
          <w:szCs w:val="18"/>
        </w:rPr>
        <w:t>Note: ASCOF refers to the Adult Social Care Outcomes Framework which is a suite of national performance indicators.</w:t>
      </w:r>
    </w:p>
    <w:p w14:paraId="7E62C602" w14:textId="77777777" w:rsidR="009477C0" w:rsidRDefault="009477C0" w:rsidP="000A5AB7">
      <w:pPr>
        <w:spacing w:after="160" w:line="259" w:lineRule="auto"/>
        <w:contextualSpacing/>
        <w:jc w:val="both"/>
        <w:rPr>
          <w:i/>
          <w:sz w:val="18"/>
          <w:szCs w:val="18"/>
        </w:rPr>
      </w:pPr>
    </w:p>
    <w:tbl>
      <w:tblPr>
        <w:tblW w:w="5503" w:type="pct"/>
        <w:tblLayout w:type="fixed"/>
        <w:tblLook w:val="04A0" w:firstRow="1" w:lastRow="0" w:firstColumn="1" w:lastColumn="0" w:noHBand="0" w:noVBand="1"/>
      </w:tblPr>
      <w:tblGrid>
        <w:gridCol w:w="3252"/>
        <w:gridCol w:w="713"/>
        <w:gridCol w:w="995"/>
        <w:gridCol w:w="993"/>
        <w:gridCol w:w="993"/>
        <w:gridCol w:w="993"/>
        <w:gridCol w:w="995"/>
        <w:gridCol w:w="979"/>
      </w:tblGrid>
      <w:tr w:rsidR="007E5A4C" w:rsidRPr="00D21CED" w14:paraId="35F34E07" w14:textId="77777777" w:rsidTr="00C55A31">
        <w:trPr>
          <w:trHeight w:val="632"/>
        </w:trPr>
        <w:tc>
          <w:tcPr>
            <w:tcW w:w="1640" w:type="pc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E533407" w14:textId="77777777" w:rsidR="007E5A4C" w:rsidRPr="00D21CED" w:rsidRDefault="007E5A4C" w:rsidP="000A5AB7">
            <w:pPr>
              <w:jc w:val="both"/>
              <w:rPr>
                <w:rFonts w:cs="Arial"/>
                <w:b/>
                <w:bCs/>
                <w:color w:val="000000"/>
                <w:sz w:val="18"/>
                <w:szCs w:val="18"/>
              </w:rPr>
            </w:pPr>
            <w:r w:rsidRPr="00D21CED">
              <w:rPr>
                <w:rFonts w:cs="Arial"/>
                <w:b/>
                <w:bCs/>
                <w:color w:val="000000"/>
                <w:sz w:val="18"/>
                <w:szCs w:val="18"/>
              </w:rPr>
              <w:t>Performance Indicator</w:t>
            </w:r>
            <w:r w:rsidRPr="00D21CED">
              <w:rPr>
                <w:rFonts w:ascii="Calibri" w:hAnsi="Calibri" w:cs="Arial"/>
                <w:color w:val="000000"/>
                <w:sz w:val="18"/>
                <w:szCs w:val="18"/>
              </w:rPr>
              <w:t> </w:t>
            </w:r>
          </w:p>
        </w:tc>
        <w:tc>
          <w:tcPr>
            <w:tcW w:w="359" w:type="pc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8FFBE18" w14:textId="77777777" w:rsidR="007E5A4C" w:rsidRPr="00D21CED" w:rsidRDefault="007E5A4C" w:rsidP="000A5AB7">
            <w:pPr>
              <w:jc w:val="both"/>
              <w:rPr>
                <w:rFonts w:cs="Arial"/>
                <w:b/>
                <w:bCs/>
                <w:color w:val="000000"/>
                <w:sz w:val="18"/>
                <w:szCs w:val="18"/>
              </w:rPr>
            </w:pPr>
            <w:r w:rsidRPr="00D21CED">
              <w:rPr>
                <w:rFonts w:cs="Arial"/>
                <w:b/>
                <w:bCs/>
                <w:color w:val="000000"/>
                <w:sz w:val="18"/>
                <w:szCs w:val="18"/>
              </w:rPr>
              <w:t>Good is: H/L</w:t>
            </w:r>
          </w:p>
        </w:tc>
        <w:tc>
          <w:tcPr>
            <w:tcW w:w="502" w:type="pc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62C787C" w14:textId="77777777" w:rsidR="007E5A4C" w:rsidRPr="00D21CED" w:rsidRDefault="007E5A4C" w:rsidP="000A5AB7">
            <w:pPr>
              <w:jc w:val="both"/>
              <w:rPr>
                <w:rFonts w:cs="Arial"/>
                <w:b/>
                <w:bCs/>
                <w:color w:val="000000"/>
                <w:sz w:val="18"/>
                <w:szCs w:val="18"/>
              </w:rPr>
            </w:pPr>
            <w:r w:rsidRPr="00D21CED">
              <w:rPr>
                <w:rFonts w:cs="Arial"/>
                <w:b/>
                <w:bCs/>
                <w:color w:val="000000"/>
                <w:sz w:val="18"/>
                <w:szCs w:val="18"/>
              </w:rPr>
              <w:t>2016/17</w:t>
            </w:r>
          </w:p>
        </w:tc>
        <w:tc>
          <w:tcPr>
            <w:tcW w:w="501" w:type="pc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316F7C0" w14:textId="77777777" w:rsidR="007E5A4C" w:rsidRPr="00D21CED" w:rsidRDefault="007E5A4C" w:rsidP="000A5AB7">
            <w:pPr>
              <w:jc w:val="both"/>
              <w:rPr>
                <w:rFonts w:cs="Arial"/>
                <w:b/>
                <w:bCs/>
                <w:color w:val="000000"/>
                <w:sz w:val="18"/>
                <w:szCs w:val="18"/>
              </w:rPr>
            </w:pPr>
            <w:r w:rsidRPr="00D21CED">
              <w:rPr>
                <w:rFonts w:cs="Arial"/>
                <w:b/>
                <w:bCs/>
                <w:color w:val="000000"/>
                <w:sz w:val="18"/>
                <w:szCs w:val="18"/>
              </w:rPr>
              <w:t>2017/18</w:t>
            </w:r>
          </w:p>
        </w:tc>
        <w:tc>
          <w:tcPr>
            <w:tcW w:w="501" w:type="pc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32B5E42" w14:textId="77777777" w:rsidR="007E5A4C" w:rsidRDefault="007E5A4C" w:rsidP="000A5AB7">
            <w:pPr>
              <w:jc w:val="both"/>
              <w:rPr>
                <w:rFonts w:cs="Arial"/>
                <w:b/>
                <w:bCs/>
                <w:color w:val="000000"/>
                <w:sz w:val="18"/>
                <w:szCs w:val="18"/>
              </w:rPr>
            </w:pPr>
            <w:r w:rsidRPr="00D21CED">
              <w:rPr>
                <w:rFonts w:cs="Arial"/>
                <w:b/>
                <w:bCs/>
                <w:color w:val="000000"/>
                <w:sz w:val="18"/>
                <w:szCs w:val="18"/>
              </w:rPr>
              <w:t xml:space="preserve">Q1 </w:t>
            </w:r>
          </w:p>
          <w:p w14:paraId="11CBFE32" w14:textId="77777777" w:rsidR="007E5A4C" w:rsidRPr="00D21CED" w:rsidRDefault="007E5A4C" w:rsidP="000A5AB7">
            <w:pPr>
              <w:jc w:val="both"/>
              <w:rPr>
                <w:rFonts w:cs="Arial"/>
                <w:b/>
                <w:bCs/>
                <w:color w:val="000000"/>
                <w:sz w:val="18"/>
                <w:szCs w:val="18"/>
              </w:rPr>
            </w:pPr>
            <w:r w:rsidRPr="00D21CED">
              <w:rPr>
                <w:rFonts w:cs="Arial"/>
                <w:b/>
                <w:bCs/>
                <w:color w:val="000000"/>
                <w:sz w:val="18"/>
                <w:szCs w:val="18"/>
              </w:rPr>
              <w:t>2018/19</w:t>
            </w:r>
          </w:p>
        </w:tc>
        <w:tc>
          <w:tcPr>
            <w:tcW w:w="501" w:type="pct"/>
            <w:tcBorders>
              <w:top w:val="single" w:sz="8" w:space="0" w:color="auto"/>
              <w:left w:val="nil"/>
              <w:right w:val="single" w:sz="4" w:space="0" w:color="auto"/>
            </w:tcBorders>
            <w:shd w:val="clear" w:color="000000" w:fill="F2F2F2"/>
            <w:vAlign w:val="center"/>
          </w:tcPr>
          <w:p w14:paraId="59E36D13" w14:textId="77777777" w:rsidR="007E5A4C" w:rsidRPr="00D21CED" w:rsidRDefault="007E5A4C" w:rsidP="000A5AB7">
            <w:pPr>
              <w:jc w:val="both"/>
              <w:rPr>
                <w:rFonts w:cs="Arial"/>
                <w:b/>
                <w:bCs/>
                <w:color w:val="000000"/>
                <w:sz w:val="18"/>
                <w:szCs w:val="18"/>
              </w:rPr>
            </w:pPr>
            <w:r w:rsidRPr="00E73875">
              <w:rPr>
                <w:rFonts w:cs="Arial"/>
                <w:b/>
                <w:bCs/>
                <w:color w:val="000000"/>
                <w:sz w:val="18"/>
                <w:szCs w:val="18"/>
              </w:rPr>
              <w:t>Q2 2018/19</w:t>
            </w:r>
          </w:p>
        </w:tc>
        <w:tc>
          <w:tcPr>
            <w:tcW w:w="502" w:type="pct"/>
            <w:tcBorders>
              <w:top w:val="single" w:sz="8" w:space="0" w:color="auto"/>
              <w:left w:val="single" w:sz="4" w:space="0" w:color="auto"/>
              <w:right w:val="single" w:sz="4" w:space="0" w:color="auto"/>
            </w:tcBorders>
            <w:shd w:val="clear" w:color="000000" w:fill="F2F2F2"/>
            <w:vAlign w:val="center"/>
          </w:tcPr>
          <w:p w14:paraId="04DC527D" w14:textId="77777777" w:rsidR="007E5A4C" w:rsidRPr="006076E8" w:rsidRDefault="007E5A4C" w:rsidP="000A5AB7">
            <w:pPr>
              <w:jc w:val="both"/>
              <w:rPr>
                <w:rFonts w:cs="Arial"/>
                <w:b/>
                <w:bCs/>
                <w:sz w:val="18"/>
                <w:szCs w:val="18"/>
              </w:rPr>
            </w:pPr>
            <w:r w:rsidRPr="006076E8">
              <w:rPr>
                <w:rFonts w:cs="Arial"/>
                <w:b/>
                <w:bCs/>
                <w:sz w:val="18"/>
                <w:szCs w:val="18"/>
              </w:rPr>
              <w:t xml:space="preserve">Q3 </w:t>
            </w:r>
          </w:p>
          <w:p w14:paraId="13553E0F" w14:textId="77777777" w:rsidR="007E5A4C" w:rsidRPr="006076E8" w:rsidRDefault="007E5A4C" w:rsidP="000A5AB7">
            <w:pPr>
              <w:jc w:val="both"/>
              <w:rPr>
                <w:rFonts w:cs="Arial"/>
                <w:b/>
                <w:bCs/>
                <w:sz w:val="18"/>
                <w:szCs w:val="18"/>
              </w:rPr>
            </w:pPr>
            <w:r w:rsidRPr="006076E8">
              <w:rPr>
                <w:rFonts w:cs="Arial"/>
                <w:b/>
                <w:bCs/>
                <w:sz w:val="18"/>
                <w:szCs w:val="18"/>
              </w:rPr>
              <w:t>2018/19</w:t>
            </w:r>
          </w:p>
        </w:tc>
        <w:tc>
          <w:tcPr>
            <w:tcW w:w="495" w:type="pct"/>
            <w:tcBorders>
              <w:top w:val="single" w:sz="8" w:space="0" w:color="auto"/>
              <w:left w:val="single" w:sz="4" w:space="0" w:color="auto"/>
              <w:right w:val="single" w:sz="8" w:space="0" w:color="auto"/>
            </w:tcBorders>
            <w:shd w:val="clear" w:color="000000" w:fill="F2F2F2"/>
            <w:vAlign w:val="center"/>
            <w:hideMark/>
          </w:tcPr>
          <w:p w14:paraId="483A8537" w14:textId="77777777" w:rsidR="007E5A4C" w:rsidRPr="006076E8" w:rsidRDefault="007E5A4C" w:rsidP="000A5AB7">
            <w:pPr>
              <w:jc w:val="both"/>
              <w:rPr>
                <w:rFonts w:cs="Arial"/>
                <w:b/>
                <w:bCs/>
                <w:sz w:val="18"/>
                <w:szCs w:val="18"/>
              </w:rPr>
            </w:pPr>
            <w:r w:rsidRPr="006076E8">
              <w:rPr>
                <w:rFonts w:cs="Arial"/>
                <w:b/>
                <w:bCs/>
                <w:sz w:val="18"/>
                <w:szCs w:val="18"/>
              </w:rPr>
              <w:t xml:space="preserve">England </w:t>
            </w:r>
          </w:p>
          <w:p w14:paraId="08155890" w14:textId="77777777" w:rsidR="007E5A4C" w:rsidRPr="006076E8" w:rsidRDefault="007E5A4C" w:rsidP="000A5AB7">
            <w:pPr>
              <w:jc w:val="both"/>
              <w:rPr>
                <w:rFonts w:cs="Arial"/>
                <w:b/>
                <w:bCs/>
                <w:sz w:val="18"/>
                <w:szCs w:val="18"/>
              </w:rPr>
            </w:pPr>
            <w:r w:rsidRPr="006076E8">
              <w:rPr>
                <w:rFonts w:cs="Arial"/>
                <w:b/>
                <w:bCs/>
                <w:sz w:val="18"/>
                <w:szCs w:val="18"/>
              </w:rPr>
              <w:t>Average</w:t>
            </w:r>
          </w:p>
        </w:tc>
      </w:tr>
      <w:tr w:rsidR="007E5A4C" w:rsidRPr="00D21CED" w14:paraId="29E25BB4" w14:textId="77777777" w:rsidTr="007E5A4C">
        <w:trPr>
          <w:trHeight w:val="6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tcPr>
          <w:p w14:paraId="5205217B" w14:textId="77777777" w:rsidR="007E5A4C" w:rsidRPr="00D21CED" w:rsidRDefault="007E5A4C" w:rsidP="000A5AB7">
            <w:pPr>
              <w:jc w:val="both"/>
              <w:rPr>
                <w:rFonts w:cs="Arial"/>
                <w:b/>
                <w:bCs/>
                <w:color w:val="000000"/>
                <w:sz w:val="18"/>
                <w:szCs w:val="18"/>
              </w:rPr>
            </w:pPr>
            <w:r w:rsidRPr="00D21CED">
              <w:rPr>
                <w:rFonts w:cs="Arial"/>
                <w:b/>
                <w:bCs/>
                <w:color w:val="000000"/>
                <w:sz w:val="18"/>
                <w:szCs w:val="18"/>
              </w:rPr>
              <w:t xml:space="preserve">Adult social care </w:t>
            </w:r>
            <w:r>
              <w:rPr>
                <w:rFonts w:cs="Arial"/>
                <w:b/>
                <w:bCs/>
                <w:color w:val="000000"/>
                <w:sz w:val="18"/>
                <w:szCs w:val="18"/>
              </w:rPr>
              <w:t xml:space="preserve">- </w:t>
            </w:r>
            <w:r w:rsidRPr="00D21CED">
              <w:rPr>
                <w:rFonts w:cs="Arial"/>
                <w:b/>
                <w:bCs/>
                <w:color w:val="000000"/>
                <w:sz w:val="18"/>
                <w:szCs w:val="18"/>
              </w:rPr>
              <w:t>personalisation</w:t>
            </w:r>
          </w:p>
        </w:tc>
      </w:tr>
      <w:tr w:rsidR="007E5A4C" w:rsidRPr="00D21CED" w14:paraId="635D03FB" w14:textId="77777777" w:rsidTr="00C55A31">
        <w:trPr>
          <w:trHeight w:val="60"/>
        </w:trPr>
        <w:tc>
          <w:tcPr>
            <w:tcW w:w="1640" w:type="pct"/>
            <w:tcBorders>
              <w:top w:val="nil"/>
              <w:left w:val="single" w:sz="8" w:space="0" w:color="auto"/>
              <w:bottom w:val="single" w:sz="4" w:space="0" w:color="auto"/>
              <w:right w:val="single" w:sz="8" w:space="0" w:color="auto"/>
            </w:tcBorders>
            <w:shd w:val="clear" w:color="auto" w:fill="auto"/>
            <w:vAlign w:val="center"/>
            <w:hideMark/>
          </w:tcPr>
          <w:p w14:paraId="6BE4D112" w14:textId="77777777" w:rsidR="007E5A4C" w:rsidRPr="00D21CED" w:rsidRDefault="007E5A4C" w:rsidP="000A5AB7">
            <w:pPr>
              <w:jc w:val="both"/>
              <w:rPr>
                <w:rFonts w:cs="Arial"/>
                <w:color w:val="000000"/>
                <w:sz w:val="18"/>
                <w:szCs w:val="18"/>
              </w:rPr>
            </w:pPr>
            <w:r w:rsidRPr="00D21CED">
              <w:rPr>
                <w:rFonts w:cs="Arial"/>
                <w:color w:val="000000"/>
                <w:sz w:val="18"/>
                <w:szCs w:val="18"/>
              </w:rPr>
              <w:t xml:space="preserve">Adults aged over 18 receiving self-directed support (personal budgets) (ASCOF) snapshot as at </w:t>
            </w:r>
            <w:r w:rsidR="003F1E3E">
              <w:rPr>
                <w:rFonts w:cs="Arial"/>
                <w:color w:val="000000"/>
                <w:sz w:val="18"/>
                <w:szCs w:val="18"/>
              </w:rPr>
              <w:t>period end</w:t>
            </w:r>
          </w:p>
        </w:tc>
        <w:tc>
          <w:tcPr>
            <w:tcW w:w="359" w:type="pct"/>
            <w:tcBorders>
              <w:top w:val="nil"/>
              <w:left w:val="nil"/>
              <w:bottom w:val="single" w:sz="4" w:space="0" w:color="auto"/>
              <w:right w:val="single" w:sz="8" w:space="0" w:color="auto"/>
            </w:tcBorders>
            <w:shd w:val="clear" w:color="auto" w:fill="auto"/>
            <w:vAlign w:val="center"/>
            <w:hideMark/>
          </w:tcPr>
          <w:p w14:paraId="443580B9" w14:textId="77777777" w:rsidR="007E5A4C" w:rsidRPr="00D21CED" w:rsidRDefault="007E5A4C" w:rsidP="000A5AB7">
            <w:pPr>
              <w:jc w:val="both"/>
              <w:rPr>
                <w:rFonts w:cs="Arial"/>
                <w:color w:val="000000"/>
                <w:sz w:val="18"/>
                <w:szCs w:val="18"/>
              </w:rPr>
            </w:pPr>
            <w:r w:rsidRPr="00D21CED">
              <w:rPr>
                <w:rFonts w:cs="Arial"/>
                <w:color w:val="000000"/>
                <w:sz w:val="18"/>
                <w:szCs w:val="18"/>
              </w:rPr>
              <w:t>H</w:t>
            </w:r>
          </w:p>
        </w:tc>
        <w:tc>
          <w:tcPr>
            <w:tcW w:w="502" w:type="pct"/>
            <w:tcBorders>
              <w:top w:val="nil"/>
              <w:left w:val="nil"/>
              <w:bottom w:val="single" w:sz="4" w:space="0" w:color="auto"/>
              <w:right w:val="single" w:sz="8" w:space="0" w:color="auto"/>
            </w:tcBorders>
            <w:shd w:val="clear" w:color="auto" w:fill="auto"/>
            <w:vAlign w:val="center"/>
            <w:hideMark/>
          </w:tcPr>
          <w:p w14:paraId="5398034F" w14:textId="77777777" w:rsidR="007E5A4C" w:rsidRPr="00D21CED" w:rsidRDefault="007E5A4C" w:rsidP="000A5AB7">
            <w:pPr>
              <w:jc w:val="both"/>
              <w:rPr>
                <w:rFonts w:cs="Arial"/>
                <w:color w:val="000000"/>
                <w:sz w:val="18"/>
                <w:szCs w:val="18"/>
              </w:rPr>
            </w:pPr>
            <w:r w:rsidRPr="00D21CED">
              <w:rPr>
                <w:rFonts w:cs="Arial"/>
                <w:color w:val="000000"/>
                <w:sz w:val="18"/>
                <w:szCs w:val="18"/>
              </w:rPr>
              <w:t>77.8%</w:t>
            </w:r>
          </w:p>
        </w:tc>
        <w:tc>
          <w:tcPr>
            <w:tcW w:w="501" w:type="pct"/>
            <w:tcBorders>
              <w:top w:val="nil"/>
              <w:left w:val="nil"/>
              <w:bottom w:val="single" w:sz="4" w:space="0" w:color="auto"/>
              <w:right w:val="single" w:sz="8" w:space="0" w:color="auto"/>
            </w:tcBorders>
            <w:shd w:val="clear" w:color="auto" w:fill="auto"/>
            <w:vAlign w:val="center"/>
            <w:hideMark/>
          </w:tcPr>
          <w:p w14:paraId="09C3E031" w14:textId="77777777" w:rsidR="007E5A4C" w:rsidRPr="00D21CED" w:rsidRDefault="007E5A4C" w:rsidP="000A5AB7">
            <w:pPr>
              <w:jc w:val="both"/>
              <w:rPr>
                <w:rFonts w:cs="Arial"/>
                <w:color w:val="000000"/>
                <w:sz w:val="18"/>
                <w:szCs w:val="18"/>
              </w:rPr>
            </w:pPr>
            <w:r w:rsidRPr="00D21CED">
              <w:rPr>
                <w:rFonts w:cs="Arial"/>
                <w:color w:val="000000"/>
                <w:sz w:val="18"/>
                <w:szCs w:val="18"/>
              </w:rPr>
              <w:t>77.4%</w:t>
            </w:r>
          </w:p>
        </w:tc>
        <w:tc>
          <w:tcPr>
            <w:tcW w:w="501" w:type="pct"/>
            <w:tcBorders>
              <w:top w:val="nil"/>
              <w:left w:val="nil"/>
              <w:bottom w:val="single" w:sz="4" w:space="0" w:color="auto"/>
              <w:right w:val="single" w:sz="8" w:space="0" w:color="auto"/>
            </w:tcBorders>
            <w:shd w:val="clear" w:color="auto" w:fill="auto"/>
            <w:vAlign w:val="center"/>
            <w:hideMark/>
          </w:tcPr>
          <w:p w14:paraId="3A7C8042" w14:textId="77777777" w:rsidR="007E5A4C" w:rsidRPr="00D21CED" w:rsidRDefault="007E5A4C" w:rsidP="000A5AB7">
            <w:pPr>
              <w:jc w:val="both"/>
              <w:rPr>
                <w:rFonts w:cs="Arial"/>
                <w:color w:val="000000"/>
                <w:sz w:val="18"/>
                <w:szCs w:val="18"/>
              </w:rPr>
            </w:pPr>
            <w:r w:rsidRPr="00D21CED">
              <w:rPr>
                <w:rFonts w:cs="Arial"/>
                <w:color w:val="000000"/>
                <w:sz w:val="18"/>
                <w:szCs w:val="18"/>
              </w:rPr>
              <w:t>76.8%</w:t>
            </w:r>
          </w:p>
        </w:tc>
        <w:tc>
          <w:tcPr>
            <w:tcW w:w="501" w:type="pct"/>
            <w:tcBorders>
              <w:top w:val="nil"/>
              <w:left w:val="nil"/>
              <w:bottom w:val="single" w:sz="4" w:space="0" w:color="auto"/>
              <w:right w:val="single" w:sz="4" w:space="0" w:color="auto"/>
            </w:tcBorders>
            <w:shd w:val="clear" w:color="auto" w:fill="auto"/>
            <w:vAlign w:val="center"/>
          </w:tcPr>
          <w:p w14:paraId="55513041" w14:textId="77777777" w:rsidR="007E5A4C" w:rsidRPr="000379A6" w:rsidRDefault="007E5A4C" w:rsidP="000A5AB7">
            <w:pPr>
              <w:jc w:val="both"/>
              <w:rPr>
                <w:rFonts w:cs="Arial"/>
                <w:color w:val="000000"/>
                <w:sz w:val="18"/>
                <w:szCs w:val="18"/>
              </w:rPr>
            </w:pPr>
            <w:r w:rsidRPr="000379A6">
              <w:rPr>
                <w:rFonts w:cs="Arial"/>
                <w:color w:val="000000"/>
                <w:sz w:val="18"/>
              </w:rPr>
              <w:t>76.2%</w:t>
            </w:r>
          </w:p>
        </w:tc>
        <w:tc>
          <w:tcPr>
            <w:tcW w:w="502" w:type="pct"/>
            <w:tcBorders>
              <w:top w:val="nil"/>
              <w:left w:val="single" w:sz="4" w:space="0" w:color="auto"/>
              <w:bottom w:val="single" w:sz="4" w:space="0" w:color="auto"/>
              <w:right w:val="single" w:sz="4" w:space="0" w:color="auto"/>
            </w:tcBorders>
            <w:shd w:val="clear" w:color="auto" w:fill="F7CAAC" w:themeFill="accent2" w:themeFillTint="66"/>
            <w:vAlign w:val="center"/>
          </w:tcPr>
          <w:p w14:paraId="26B50402" w14:textId="77777777" w:rsidR="007E5A4C" w:rsidRPr="006076E8" w:rsidRDefault="007E5A4C" w:rsidP="000A5AB7">
            <w:pPr>
              <w:jc w:val="both"/>
              <w:rPr>
                <w:rFonts w:cs="Arial"/>
                <w:color w:val="000000"/>
                <w:sz w:val="18"/>
              </w:rPr>
            </w:pPr>
            <w:r w:rsidRPr="006076E8">
              <w:rPr>
                <w:rFonts w:cs="Arial"/>
                <w:color w:val="000000"/>
                <w:sz w:val="18"/>
              </w:rPr>
              <w:t>75.8%</w:t>
            </w:r>
          </w:p>
        </w:tc>
        <w:tc>
          <w:tcPr>
            <w:tcW w:w="495" w:type="pct"/>
            <w:tcBorders>
              <w:top w:val="nil"/>
              <w:left w:val="single" w:sz="4" w:space="0" w:color="auto"/>
              <w:bottom w:val="single" w:sz="4" w:space="0" w:color="auto"/>
              <w:right w:val="single" w:sz="8" w:space="0" w:color="auto"/>
            </w:tcBorders>
            <w:shd w:val="clear" w:color="auto" w:fill="auto"/>
            <w:vAlign w:val="center"/>
            <w:hideMark/>
          </w:tcPr>
          <w:p w14:paraId="096784C4" w14:textId="77777777" w:rsidR="007E5A4C" w:rsidRPr="006076E8" w:rsidRDefault="007E5A4C" w:rsidP="000A5AB7">
            <w:pPr>
              <w:jc w:val="both"/>
              <w:rPr>
                <w:rFonts w:cs="Arial"/>
                <w:sz w:val="18"/>
                <w:szCs w:val="18"/>
              </w:rPr>
            </w:pPr>
            <w:r w:rsidRPr="006076E8">
              <w:rPr>
                <w:rFonts w:cs="Arial"/>
                <w:sz w:val="18"/>
              </w:rPr>
              <w:t>89.7%</w:t>
            </w:r>
          </w:p>
        </w:tc>
      </w:tr>
      <w:tr w:rsidR="007E5A4C" w:rsidRPr="00D21CED" w14:paraId="403562CD" w14:textId="77777777" w:rsidTr="00C55A31">
        <w:trPr>
          <w:trHeight w:val="60"/>
        </w:trPr>
        <w:tc>
          <w:tcPr>
            <w:tcW w:w="164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026E978B" w14:textId="77777777" w:rsidR="007E5A4C" w:rsidRPr="00D21CED" w:rsidRDefault="007E5A4C" w:rsidP="000A5AB7">
            <w:pPr>
              <w:jc w:val="both"/>
              <w:rPr>
                <w:rFonts w:cs="Arial"/>
                <w:color w:val="000000"/>
                <w:sz w:val="18"/>
                <w:szCs w:val="18"/>
              </w:rPr>
            </w:pPr>
            <w:r w:rsidRPr="00D21CED">
              <w:rPr>
                <w:rFonts w:cs="Arial"/>
                <w:color w:val="000000"/>
                <w:sz w:val="18"/>
                <w:szCs w:val="18"/>
              </w:rPr>
              <w:t xml:space="preserve">Adults receiving direct payments  (ASCOF) snapshot </w:t>
            </w:r>
            <w:r w:rsidR="003F1E3E">
              <w:rPr>
                <w:rFonts w:cs="Arial"/>
                <w:color w:val="000000"/>
                <w:sz w:val="18"/>
                <w:szCs w:val="18"/>
              </w:rPr>
              <w:t xml:space="preserve">as </w:t>
            </w:r>
            <w:r w:rsidR="003F1E3E" w:rsidRPr="00D21CED">
              <w:rPr>
                <w:rFonts w:cs="Arial"/>
                <w:color w:val="000000"/>
                <w:sz w:val="18"/>
                <w:szCs w:val="18"/>
              </w:rPr>
              <w:t xml:space="preserve">at </w:t>
            </w:r>
            <w:r w:rsidR="003F1E3E">
              <w:rPr>
                <w:rFonts w:cs="Arial"/>
                <w:color w:val="000000"/>
                <w:sz w:val="18"/>
                <w:szCs w:val="18"/>
              </w:rPr>
              <w:t>period end</w:t>
            </w:r>
          </w:p>
        </w:tc>
        <w:tc>
          <w:tcPr>
            <w:tcW w:w="359" w:type="pct"/>
            <w:tcBorders>
              <w:top w:val="single" w:sz="4" w:space="0" w:color="auto"/>
              <w:left w:val="nil"/>
              <w:bottom w:val="single" w:sz="8" w:space="0" w:color="auto"/>
              <w:right w:val="single" w:sz="8" w:space="0" w:color="auto"/>
            </w:tcBorders>
            <w:shd w:val="clear" w:color="auto" w:fill="auto"/>
            <w:vAlign w:val="center"/>
            <w:hideMark/>
          </w:tcPr>
          <w:p w14:paraId="67B85D6D" w14:textId="77777777" w:rsidR="007E5A4C" w:rsidRPr="00D21CED" w:rsidRDefault="007E5A4C" w:rsidP="000A5AB7">
            <w:pPr>
              <w:jc w:val="both"/>
              <w:rPr>
                <w:rFonts w:cs="Arial"/>
                <w:color w:val="000000"/>
                <w:sz w:val="18"/>
                <w:szCs w:val="18"/>
              </w:rPr>
            </w:pPr>
            <w:r w:rsidRPr="00D21CED">
              <w:rPr>
                <w:rFonts w:cs="Arial"/>
                <w:color w:val="000000"/>
                <w:sz w:val="18"/>
                <w:szCs w:val="18"/>
              </w:rPr>
              <w:t>H</w:t>
            </w:r>
          </w:p>
        </w:tc>
        <w:tc>
          <w:tcPr>
            <w:tcW w:w="502" w:type="pct"/>
            <w:tcBorders>
              <w:top w:val="single" w:sz="4" w:space="0" w:color="auto"/>
              <w:left w:val="nil"/>
              <w:bottom w:val="single" w:sz="8" w:space="0" w:color="auto"/>
              <w:right w:val="single" w:sz="8" w:space="0" w:color="auto"/>
            </w:tcBorders>
            <w:shd w:val="clear" w:color="auto" w:fill="auto"/>
            <w:vAlign w:val="center"/>
            <w:hideMark/>
          </w:tcPr>
          <w:p w14:paraId="26E505B4" w14:textId="77777777" w:rsidR="007E5A4C" w:rsidRPr="00D21CED" w:rsidRDefault="007E5A4C" w:rsidP="000A5AB7">
            <w:pPr>
              <w:jc w:val="both"/>
              <w:rPr>
                <w:rFonts w:cs="Arial"/>
                <w:color w:val="000000"/>
                <w:sz w:val="18"/>
                <w:szCs w:val="18"/>
              </w:rPr>
            </w:pPr>
            <w:r w:rsidRPr="00D21CED">
              <w:rPr>
                <w:rFonts w:cs="Arial"/>
                <w:color w:val="000000"/>
                <w:sz w:val="18"/>
                <w:szCs w:val="18"/>
              </w:rPr>
              <w:t>23.9%</w:t>
            </w:r>
          </w:p>
        </w:tc>
        <w:tc>
          <w:tcPr>
            <w:tcW w:w="501" w:type="pct"/>
            <w:tcBorders>
              <w:top w:val="single" w:sz="4" w:space="0" w:color="auto"/>
              <w:left w:val="nil"/>
              <w:bottom w:val="single" w:sz="8" w:space="0" w:color="auto"/>
              <w:right w:val="single" w:sz="8" w:space="0" w:color="auto"/>
            </w:tcBorders>
            <w:shd w:val="clear" w:color="auto" w:fill="auto"/>
            <w:vAlign w:val="center"/>
            <w:hideMark/>
          </w:tcPr>
          <w:p w14:paraId="3B189279" w14:textId="77777777" w:rsidR="007E5A4C" w:rsidRPr="00D21CED" w:rsidRDefault="007E5A4C" w:rsidP="000A5AB7">
            <w:pPr>
              <w:jc w:val="both"/>
              <w:rPr>
                <w:rFonts w:cs="Arial"/>
                <w:color w:val="000000"/>
                <w:sz w:val="18"/>
                <w:szCs w:val="18"/>
              </w:rPr>
            </w:pPr>
            <w:r w:rsidRPr="00D21CED">
              <w:rPr>
                <w:rFonts w:cs="Arial"/>
                <w:color w:val="000000"/>
                <w:sz w:val="18"/>
                <w:szCs w:val="18"/>
              </w:rPr>
              <w:t>25.1%</w:t>
            </w:r>
          </w:p>
        </w:tc>
        <w:tc>
          <w:tcPr>
            <w:tcW w:w="501" w:type="pct"/>
            <w:tcBorders>
              <w:top w:val="single" w:sz="4" w:space="0" w:color="auto"/>
              <w:left w:val="nil"/>
              <w:bottom w:val="single" w:sz="8" w:space="0" w:color="auto"/>
              <w:right w:val="single" w:sz="8" w:space="0" w:color="auto"/>
            </w:tcBorders>
            <w:shd w:val="clear" w:color="auto" w:fill="auto"/>
            <w:vAlign w:val="center"/>
            <w:hideMark/>
          </w:tcPr>
          <w:p w14:paraId="38B7FBC2" w14:textId="77777777" w:rsidR="007E5A4C" w:rsidRPr="00D21CED" w:rsidRDefault="007E5A4C" w:rsidP="000A5AB7">
            <w:pPr>
              <w:jc w:val="both"/>
              <w:rPr>
                <w:rFonts w:cs="Arial"/>
                <w:color w:val="000000"/>
                <w:sz w:val="18"/>
                <w:szCs w:val="18"/>
              </w:rPr>
            </w:pPr>
            <w:r w:rsidRPr="00D21CED">
              <w:rPr>
                <w:rFonts w:cs="Arial"/>
                <w:color w:val="000000"/>
                <w:sz w:val="18"/>
                <w:szCs w:val="18"/>
              </w:rPr>
              <w:t>26.5%</w:t>
            </w:r>
          </w:p>
        </w:tc>
        <w:tc>
          <w:tcPr>
            <w:tcW w:w="501" w:type="pct"/>
            <w:tcBorders>
              <w:top w:val="single" w:sz="4" w:space="0" w:color="auto"/>
              <w:left w:val="nil"/>
              <w:bottom w:val="single" w:sz="8" w:space="0" w:color="auto"/>
              <w:right w:val="single" w:sz="4" w:space="0" w:color="auto"/>
            </w:tcBorders>
            <w:shd w:val="clear" w:color="auto" w:fill="auto"/>
            <w:vAlign w:val="center"/>
          </w:tcPr>
          <w:p w14:paraId="0542061D" w14:textId="77777777" w:rsidR="007E5A4C" w:rsidRPr="000379A6" w:rsidRDefault="007E5A4C" w:rsidP="000A5AB7">
            <w:pPr>
              <w:jc w:val="both"/>
              <w:rPr>
                <w:rFonts w:cs="Arial"/>
                <w:color w:val="000000"/>
                <w:sz w:val="18"/>
                <w:szCs w:val="18"/>
              </w:rPr>
            </w:pPr>
            <w:r w:rsidRPr="000379A6">
              <w:rPr>
                <w:rFonts w:cs="Arial"/>
                <w:color w:val="000000"/>
                <w:sz w:val="18"/>
              </w:rPr>
              <w:t>28.0%</w:t>
            </w:r>
          </w:p>
        </w:tc>
        <w:tc>
          <w:tcPr>
            <w:tcW w:w="502" w:type="pct"/>
            <w:tcBorders>
              <w:top w:val="single" w:sz="4" w:space="0" w:color="auto"/>
              <w:left w:val="single" w:sz="4" w:space="0" w:color="auto"/>
              <w:bottom w:val="single" w:sz="8" w:space="0" w:color="auto"/>
              <w:right w:val="single" w:sz="4" w:space="0" w:color="auto"/>
            </w:tcBorders>
            <w:shd w:val="clear" w:color="auto" w:fill="C5E0B3" w:themeFill="accent6" w:themeFillTint="66"/>
            <w:vAlign w:val="center"/>
          </w:tcPr>
          <w:p w14:paraId="50F148B2" w14:textId="77777777" w:rsidR="007E5A4C" w:rsidRPr="006076E8" w:rsidRDefault="007E5A4C" w:rsidP="000A5AB7">
            <w:pPr>
              <w:jc w:val="both"/>
              <w:rPr>
                <w:rFonts w:cs="Arial"/>
                <w:color w:val="000000"/>
                <w:sz w:val="18"/>
              </w:rPr>
            </w:pPr>
            <w:r w:rsidRPr="006076E8">
              <w:rPr>
                <w:rFonts w:cs="Arial"/>
                <w:color w:val="000000"/>
                <w:sz w:val="18"/>
              </w:rPr>
              <w:t>29.6%</w:t>
            </w:r>
          </w:p>
        </w:tc>
        <w:tc>
          <w:tcPr>
            <w:tcW w:w="495"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537EBD6A" w14:textId="77777777" w:rsidR="007E5A4C" w:rsidRPr="006076E8" w:rsidRDefault="007E5A4C" w:rsidP="000A5AB7">
            <w:pPr>
              <w:jc w:val="both"/>
              <w:rPr>
                <w:rFonts w:cs="Arial"/>
                <w:sz w:val="18"/>
                <w:szCs w:val="18"/>
              </w:rPr>
            </w:pPr>
            <w:r w:rsidRPr="006076E8">
              <w:rPr>
                <w:rFonts w:cs="Arial"/>
                <w:sz w:val="18"/>
              </w:rPr>
              <w:t>28.5%</w:t>
            </w:r>
          </w:p>
        </w:tc>
      </w:tr>
      <w:tr w:rsidR="007E5A4C" w:rsidRPr="00D21CED" w14:paraId="60A0C478" w14:textId="77777777" w:rsidTr="007E5A4C">
        <w:trPr>
          <w:trHeight w:val="6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tcPr>
          <w:p w14:paraId="5B1C1D66" w14:textId="77777777" w:rsidR="007E5A4C" w:rsidRPr="00D21CED" w:rsidRDefault="007E5A4C" w:rsidP="000A5AB7">
            <w:pPr>
              <w:jc w:val="both"/>
              <w:rPr>
                <w:rFonts w:cs="Arial"/>
                <w:b/>
                <w:bCs/>
                <w:color w:val="000000"/>
                <w:sz w:val="18"/>
                <w:szCs w:val="18"/>
              </w:rPr>
            </w:pPr>
            <w:r w:rsidRPr="00D21CED">
              <w:rPr>
                <w:rFonts w:cs="Arial"/>
                <w:b/>
                <w:bCs/>
                <w:color w:val="000000"/>
                <w:sz w:val="18"/>
                <w:szCs w:val="18"/>
              </w:rPr>
              <w:t>Support for carers</w:t>
            </w:r>
          </w:p>
        </w:tc>
      </w:tr>
      <w:tr w:rsidR="007E5A4C" w:rsidRPr="00D21CED" w14:paraId="7FD7376C" w14:textId="77777777" w:rsidTr="00C55A31">
        <w:trPr>
          <w:trHeight w:val="60"/>
        </w:trPr>
        <w:tc>
          <w:tcPr>
            <w:tcW w:w="1640" w:type="pct"/>
            <w:tcBorders>
              <w:top w:val="nil"/>
              <w:left w:val="single" w:sz="8" w:space="0" w:color="auto"/>
              <w:bottom w:val="single" w:sz="8" w:space="0" w:color="auto"/>
              <w:right w:val="single" w:sz="8" w:space="0" w:color="auto"/>
            </w:tcBorders>
            <w:shd w:val="clear" w:color="auto" w:fill="auto"/>
            <w:vAlign w:val="center"/>
            <w:hideMark/>
          </w:tcPr>
          <w:p w14:paraId="129E1773" w14:textId="77777777" w:rsidR="007E5A4C" w:rsidRPr="00D21CED" w:rsidRDefault="007E5A4C" w:rsidP="000A5AB7">
            <w:pPr>
              <w:jc w:val="both"/>
              <w:rPr>
                <w:rFonts w:cs="Arial"/>
                <w:color w:val="000000"/>
                <w:sz w:val="18"/>
                <w:szCs w:val="18"/>
              </w:rPr>
            </w:pPr>
            <w:r w:rsidRPr="00D21CED">
              <w:rPr>
                <w:rFonts w:cs="Arial"/>
                <w:color w:val="000000"/>
                <w:sz w:val="18"/>
                <w:szCs w:val="18"/>
              </w:rPr>
              <w:t xml:space="preserve">Carers receiving direct payments for support direct to carer (ASCOF) </w:t>
            </w:r>
            <w:r w:rsidR="00407851">
              <w:rPr>
                <w:rFonts w:cs="Arial"/>
                <w:color w:val="000000"/>
                <w:sz w:val="18"/>
                <w:szCs w:val="18"/>
              </w:rPr>
              <w:t>during the period</w:t>
            </w:r>
          </w:p>
        </w:tc>
        <w:tc>
          <w:tcPr>
            <w:tcW w:w="359" w:type="pct"/>
            <w:tcBorders>
              <w:top w:val="nil"/>
              <w:left w:val="nil"/>
              <w:bottom w:val="single" w:sz="8" w:space="0" w:color="auto"/>
              <w:right w:val="single" w:sz="8" w:space="0" w:color="auto"/>
            </w:tcBorders>
            <w:shd w:val="clear" w:color="auto" w:fill="auto"/>
            <w:vAlign w:val="center"/>
            <w:hideMark/>
          </w:tcPr>
          <w:p w14:paraId="55F640D0" w14:textId="77777777" w:rsidR="007E5A4C" w:rsidRPr="00D21CED" w:rsidRDefault="007E5A4C" w:rsidP="000A5AB7">
            <w:pPr>
              <w:jc w:val="both"/>
              <w:rPr>
                <w:rFonts w:cs="Arial"/>
                <w:color w:val="000000"/>
                <w:sz w:val="18"/>
                <w:szCs w:val="18"/>
              </w:rPr>
            </w:pPr>
            <w:r w:rsidRPr="00D21CED">
              <w:rPr>
                <w:rFonts w:cs="Arial"/>
                <w:color w:val="000000"/>
                <w:sz w:val="18"/>
                <w:szCs w:val="18"/>
              </w:rPr>
              <w:t>H</w:t>
            </w:r>
          </w:p>
        </w:tc>
        <w:tc>
          <w:tcPr>
            <w:tcW w:w="502" w:type="pct"/>
            <w:tcBorders>
              <w:top w:val="nil"/>
              <w:left w:val="nil"/>
              <w:bottom w:val="single" w:sz="8" w:space="0" w:color="auto"/>
              <w:right w:val="single" w:sz="8" w:space="0" w:color="auto"/>
            </w:tcBorders>
            <w:shd w:val="clear" w:color="auto" w:fill="auto"/>
            <w:vAlign w:val="center"/>
            <w:hideMark/>
          </w:tcPr>
          <w:p w14:paraId="63214194" w14:textId="77777777" w:rsidR="007E5A4C" w:rsidRPr="00D21CED" w:rsidRDefault="007E5A4C" w:rsidP="000A5AB7">
            <w:pPr>
              <w:jc w:val="both"/>
              <w:rPr>
                <w:rFonts w:cs="Arial"/>
                <w:color w:val="000000"/>
                <w:sz w:val="18"/>
                <w:szCs w:val="18"/>
              </w:rPr>
            </w:pPr>
            <w:r w:rsidRPr="00D21CED">
              <w:rPr>
                <w:rFonts w:cs="Arial"/>
                <w:color w:val="000000"/>
                <w:sz w:val="18"/>
                <w:szCs w:val="18"/>
              </w:rPr>
              <w:t>98.3%</w:t>
            </w:r>
          </w:p>
        </w:tc>
        <w:tc>
          <w:tcPr>
            <w:tcW w:w="501" w:type="pct"/>
            <w:tcBorders>
              <w:top w:val="nil"/>
              <w:left w:val="nil"/>
              <w:bottom w:val="single" w:sz="8" w:space="0" w:color="auto"/>
              <w:right w:val="single" w:sz="8" w:space="0" w:color="auto"/>
            </w:tcBorders>
            <w:shd w:val="clear" w:color="auto" w:fill="auto"/>
            <w:vAlign w:val="center"/>
            <w:hideMark/>
          </w:tcPr>
          <w:p w14:paraId="0DDDB8B0" w14:textId="77777777" w:rsidR="007E5A4C" w:rsidRPr="00D21CED" w:rsidRDefault="007E5A4C" w:rsidP="000A5AB7">
            <w:pPr>
              <w:jc w:val="both"/>
              <w:rPr>
                <w:rFonts w:cs="Arial"/>
                <w:color w:val="000000"/>
                <w:sz w:val="18"/>
                <w:szCs w:val="18"/>
              </w:rPr>
            </w:pPr>
            <w:r w:rsidRPr="00D21CED">
              <w:rPr>
                <w:rFonts w:cs="Arial"/>
                <w:color w:val="000000"/>
                <w:sz w:val="18"/>
                <w:szCs w:val="18"/>
              </w:rPr>
              <w:t>98.6%</w:t>
            </w:r>
          </w:p>
        </w:tc>
        <w:tc>
          <w:tcPr>
            <w:tcW w:w="501" w:type="pct"/>
            <w:tcBorders>
              <w:top w:val="nil"/>
              <w:left w:val="nil"/>
              <w:bottom w:val="single" w:sz="8" w:space="0" w:color="auto"/>
              <w:right w:val="single" w:sz="8" w:space="0" w:color="auto"/>
            </w:tcBorders>
            <w:shd w:val="clear" w:color="auto" w:fill="auto"/>
            <w:vAlign w:val="center"/>
            <w:hideMark/>
          </w:tcPr>
          <w:p w14:paraId="0E02FD53" w14:textId="77777777" w:rsidR="007E5A4C" w:rsidRPr="00D21CED" w:rsidRDefault="007E5A4C" w:rsidP="000A5AB7">
            <w:pPr>
              <w:jc w:val="both"/>
              <w:rPr>
                <w:rFonts w:cs="Arial"/>
                <w:color w:val="000000"/>
                <w:sz w:val="18"/>
                <w:szCs w:val="18"/>
              </w:rPr>
            </w:pPr>
            <w:r w:rsidRPr="00D21CED">
              <w:rPr>
                <w:rFonts w:cs="Arial"/>
                <w:color w:val="000000"/>
                <w:sz w:val="18"/>
                <w:szCs w:val="18"/>
              </w:rPr>
              <w:t>99.4%</w:t>
            </w:r>
          </w:p>
        </w:tc>
        <w:tc>
          <w:tcPr>
            <w:tcW w:w="501" w:type="pct"/>
            <w:tcBorders>
              <w:top w:val="nil"/>
              <w:left w:val="nil"/>
              <w:bottom w:val="single" w:sz="8" w:space="0" w:color="auto"/>
              <w:right w:val="single" w:sz="4" w:space="0" w:color="auto"/>
            </w:tcBorders>
            <w:shd w:val="clear" w:color="auto" w:fill="auto"/>
            <w:vAlign w:val="center"/>
          </w:tcPr>
          <w:p w14:paraId="23BD1446" w14:textId="77777777" w:rsidR="007E5A4C" w:rsidRPr="000379A6" w:rsidRDefault="007E5A4C" w:rsidP="000A5AB7">
            <w:pPr>
              <w:jc w:val="both"/>
              <w:rPr>
                <w:rFonts w:cs="Arial"/>
                <w:color w:val="000000"/>
                <w:sz w:val="18"/>
                <w:szCs w:val="18"/>
              </w:rPr>
            </w:pPr>
            <w:r w:rsidRPr="000379A6">
              <w:rPr>
                <w:rFonts w:cs="Arial"/>
                <w:color w:val="000000"/>
                <w:sz w:val="18"/>
              </w:rPr>
              <w:t>99.3%</w:t>
            </w:r>
          </w:p>
        </w:tc>
        <w:tc>
          <w:tcPr>
            <w:tcW w:w="502" w:type="pct"/>
            <w:tcBorders>
              <w:top w:val="nil"/>
              <w:left w:val="single" w:sz="4" w:space="0" w:color="auto"/>
              <w:bottom w:val="single" w:sz="8" w:space="0" w:color="auto"/>
              <w:right w:val="single" w:sz="4" w:space="0" w:color="auto"/>
            </w:tcBorders>
            <w:shd w:val="clear" w:color="auto" w:fill="C5E0B3" w:themeFill="accent6" w:themeFillTint="66"/>
            <w:vAlign w:val="center"/>
          </w:tcPr>
          <w:p w14:paraId="27BF80F8" w14:textId="77777777" w:rsidR="007E5A4C" w:rsidRPr="006076E8" w:rsidRDefault="007E5A4C" w:rsidP="000A5AB7">
            <w:pPr>
              <w:jc w:val="both"/>
              <w:rPr>
                <w:rFonts w:cs="Arial"/>
                <w:color w:val="000000"/>
                <w:sz w:val="18"/>
              </w:rPr>
            </w:pPr>
            <w:r w:rsidRPr="006076E8">
              <w:rPr>
                <w:rFonts w:cs="Arial"/>
                <w:color w:val="000000"/>
                <w:sz w:val="18"/>
              </w:rPr>
              <w:t>99.0%</w:t>
            </w:r>
          </w:p>
        </w:tc>
        <w:tc>
          <w:tcPr>
            <w:tcW w:w="495" w:type="pct"/>
            <w:tcBorders>
              <w:top w:val="nil"/>
              <w:left w:val="single" w:sz="4" w:space="0" w:color="auto"/>
              <w:bottom w:val="single" w:sz="8" w:space="0" w:color="auto"/>
              <w:right w:val="single" w:sz="8" w:space="0" w:color="auto"/>
            </w:tcBorders>
            <w:shd w:val="clear" w:color="auto" w:fill="auto"/>
            <w:vAlign w:val="center"/>
            <w:hideMark/>
          </w:tcPr>
          <w:p w14:paraId="78C38521" w14:textId="77777777" w:rsidR="007E5A4C" w:rsidRPr="000379A6" w:rsidRDefault="007E5A4C" w:rsidP="000A5AB7">
            <w:pPr>
              <w:jc w:val="both"/>
              <w:rPr>
                <w:rFonts w:cs="Arial"/>
                <w:color w:val="000000"/>
                <w:sz w:val="18"/>
                <w:szCs w:val="18"/>
              </w:rPr>
            </w:pPr>
            <w:r w:rsidRPr="006076E8">
              <w:rPr>
                <w:rFonts w:cs="Arial"/>
                <w:sz w:val="18"/>
              </w:rPr>
              <w:t>74.1%</w:t>
            </w:r>
          </w:p>
        </w:tc>
      </w:tr>
      <w:tr w:rsidR="007E5A4C" w:rsidRPr="00D21CED" w14:paraId="17D94A55" w14:textId="77777777" w:rsidTr="007E5A4C">
        <w:trPr>
          <w:trHeight w:val="48"/>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tcPr>
          <w:p w14:paraId="7E7634EC" w14:textId="77777777" w:rsidR="007E5A4C" w:rsidRPr="00D21CED" w:rsidRDefault="007E5A4C" w:rsidP="000A5AB7">
            <w:pPr>
              <w:jc w:val="both"/>
              <w:rPr>
                <w:rFonts w:cs="Arial"/>
                <w:b/>
                <w:bCs/>
                <w:color w:val="000000"/>
                <w:sz w:val="18"/>
                <w:szCs w:val="18"/>
              </w:rPr>
            </w:pPr>
            <w:r w:rsidRPr="00D21CED">
              <w:rPr>
                <w:rFonts w:cs="Arial"/>
                <w:b/>
                <w:bCs/>
                <w:color w:val="000000"/>
                <w:sz w:val="18"/>
                <w:szCs w:val="18"/>
              </w:rPr>
              <w:t>Support for people with learning disabilities</w:t>
            </w:r>
          </w:p>
        </w:tc>
      </w:tr>
      <w:tr w:rsidR="007E5A4C" w:rsidRPr="00D21CED" w14:paraId="4595ADFA" w14:textId="77777777" w:rsidTr="00C55A31">
        <w:trPr>
          <w:trHeight w:val="60"/>
        </w:trPr>
        <w:tc>
          <w:tcPr>
            <w:tcW w:w="1640" w:type="pct"/>
            <w:tcBorders>
              <w:top w:val="nil"/>
              <w:left w:val="single" w:sz="8" w:space="0" w:color="auto"/>
              <w:bottom w:val="single" w:sz="8" w:space="0" w:color="auto"/>
              <w:right w:val="single" w:sz="8" w:space="0" w:color="auto"/>
            </w:tcBorders>
            <w:shd w:val="clear" w:color="auto" w:fill="auto"/>
            <w:vAlign w:val="center"/>
            <w:hideMark/>
          </w:tcPr>
          <w:p w14:paraId="06055774" w14:textId="77777777" w:rsidR="007E5A4C" w:rsidRPr="00D21CED" w:rsidRDefault="007E5A4C" w:rsidP="000A5AB7">
            <w:pPr>
              <w:jc w:val="both"/>
              <w:rPr>
                <w:rFonts w:cs="Arial"/>
                <w:color w:val="000000"/>
                <w:sz w:val="18"/>
                <w:szCs w:val="18"/>
              </w:rPr>
            </w:pPr>
            <w:r w:rsidRPr="00D21CED">
              <w:rPr>
                <w:rFonts w:cs="Arial"/>
                <w:color w:val="000000"/>
                <w:sz w:val="18"/>
                <w:szCs w:val="18"/>
              </w:rPr>
              <w:t xml:space="preserve">Proportion of adults with learning disabilities who live in their own home or with their family (ASCOF) </w:t>
            </w:r>
            <w:r w:rsidR="00407851">
              <w:rPr>
                <w:rFonts w:cs="Arial"/>
                <w:color w:val="000000"/>
                <w:sz w:val="18"/>
                <w:szCs w:val="18"/>
              </w:rPr>
              <w:t>during the period</w:t>
            </w:r>
          </w:p>
        </w:tc>
        <w:tc>
          <w:tcPr>
            <w:tcW w:w="359" w:type="pct"/>
            <w:tcBorders>
              <w:top w:val="nil"/>
              <w:left w:val="nil"/>
              <w:bottom w:val="single" w:sz="8" w:space="0" w:color="auto"/>
              <w:right w:val="single" w:sz="8" w:space="0" w:color="auto"/>
            </w:tcBorders>
            <w:shd w:val="clear" w:color="auto" w:fill="auto"/>
            <w:vAlign w:val="center"/>
            <w:hideMark/>
          </w:tcPr>
          <w:p w14:paraId="15F8B5F0" w14:textId="77777777" w:rsidR="007E5A4C" w:rsidRPr="00D21CED" w:rsidRDefault="007E5A4C" w:rsidP="000A5AB7">
            <w:pPr>
              <w:jc w:val="both"/>
              <w:rPr>
                <w:rFonts w:cs="Arial"/>
                <w:color w:val="000000"/>
                <w:sz w:val="18"/>
                <w:szCs w:val="18"/>
              </w:rPr>
            </w:pPr>
            <w:r w:rsidRPr="00D21CED">
              <w:rPr>
                <w:rFonts w:cs="Arial"/>
                <w:color w:val="000000"/>
                <w:sz w:val="18"/>
                <w:szCs w:val="18"/>
              </w:rPr>
              <w:t>H</w:t>
            </w:r>
          </w:p>
        </w:tc>
        <w:tc>
          <w:tcPr>
            <w:tcW w:w="502" w:type="pct"/>
            <w:tcBorders>
              <w:top w:val="nil"/>
              <w:left w:val="nil"/>
              <w:bottom w:val="single" w:sz="8" w:space="0" w:color="auto"/>
              <w:right w:val="single" w:sz="8" w:space="0" w:color="auto"/>
            </w:tcBorders>
            <w:shd w:val="clear" w:color="auto" w:fill="auto"/>
            <w:vAlign w:val="center"/>
            <w:hideMark/>
          </w:tcPr>
          <w:p w14:paraId="016885E4" w14:textId="77777777" w:rsidR="007E5A4C" w:rsidRPr="00D21CED" w:rsidRDefault="007E5A4C" w:rsidP="000A5AB7">
            <w:pPr>
              <w:jc w:val="both"/>
              <w:rPr>
                <w:rFonts w:cs="Arial"/>
                <w:color w:val="000000"/>
                <w:sz w:val="18"/>
                <w:szCs w:val="18"/>
              </w:rPr>
            </w:pPr>
            <w:r w:rsidRPr="00D21CED">
              <w:rPr>
                <w:rFonts w:cs="Arial"/>
                <w:color w:val="000000"/>
                <w:sz w:val="18"/>
                <w:szCs w:val="18"/>
              </w:rPr>
              <w:t>85.5%</w:t>
            </w:r>
          </w:p>
        </w:tc>
        <w:tc>
          <w:tcPr>
            <w:tcW w:w="501" w:type="pct"/>
            <w:tcBorders>
              <w:top w:val="nil"/>
              <w:left w:val="nil"/>
              <w:bottom w:val="single" w:sz="8" w:space="0" w:color="auto"/>
              <w:right w:val="single" w:sz="8" w:space="0" w:color="auto"/>
            </w:tcBorders>
            <w:shd w:val="clear" w:color="auto" w:fill="auto"/>
            <w:vAlign w:val="center"/>
            <w:hideMark/>
          </w:tcPr>
          <w:p w14:paraId="21E53D2B" w14:textId="77777777" w:rsidR="007E5A4C" w:rsidRPr="00D21CED" w:rsidRDefault="007E5A4C" w:rsidP="000A5AB7">
            <w:pPr>
              <w:jc w:val="both"/>
              <w:rPr>
                <w:rFonts w:cs="Arial"/>
                <w:color w:val="000000"/>
                <w:sz w:val="18"/>
                <w:szCs w:val="18"/>
              </w:rPr>
            </w:pPr>
            <w:r w:rsidRPr="00D21CED">
              <w:rPr>
                <w:rFonts w:cs="Arial"/>
                <w:color w:val="000000"/>
                <w:sz w:val="18"/>
                <w:szCs w:val="18"/>
              </w:rPr>
              <w:t>85.3%</w:t>
            </w:r>
          </w:p>
        </w:tc>
        <w:tc>
          <w:tcPr>
            <w:tcW w:w="501" w:type="pct"/>
            <w:tcBorders>
              <w:top w:val="nil"/>
              <w:left w:val="nil"/>
              <w:bottom w:val="single" w:sz="8" w:space="0" w:color="auto"/>
              <w:right w:val="single" w:sz="8" w:space="0" w:color="auto"/>
            </w:tcBorders>
            <w:shd w:val="clear" w:color="auto" w:fill="auto"/>
            <w:vAlign w:val="center"/>
            <w:hideMark/>
          </w:tcPr>
          <w:p w14:paraId="72685D15" w14:textId="77777777" w:rsidR="007E5A4C" w:rsidRPr="00D21CED" w:rsidRDefault="007E5A4C" w:rsidP="000A5AB7">
            <w:pPr>
              <w:jc w:val="both"/>
              <w:rPr>
                <w:rFonts w:cs="Arial"/>
                <w:color w:val="000000"/>
                <w:sz w:val="18"/>
                <w:szCs w:val="18"/>
              </w:rPr>
            </w:pPr>
            <w:r w:rsidRPr="00D21CED">
              <w:rPr>
                <w:rFonts w:cs="Arial"/>
                <w:color w:val="000000"/>
                <w:sz w:val="18"/>
                <w:szCs w:val="18"/>
              </w:rPr>
              <w:t>85.1%</w:t>
            </w:r>
          </w:p>
        </w:tc>
        <w:tc>
          <w:tcPr>
            <w:tcW w:w="501" w:type="pct"/>
            <w:tcBorders>
              <w:top w:val="nil"/>
              <w:left w:val="nil"/>
              <w:bottom w:val="single" w:sz="8" w:space="0" w:color="auto"/>
              <w:right w:val="single" w:sz="4" w:space="0" w:color="auto"/>
            </w:tcBorders>
            <w:shd w:val="clear" w:color="auto" w:fill="auto"/>
            <w:vAlign w:val="center"/>
          </w:tcPr>
          <w:p w14:paraId="28C7D864" w14:textId="77777777" w:rsidR="007E5A4C" w:rsidRPr="000379A6" w:rsidRDefault="007E5A4C" w:rsidP="000A5AB7">
            <w:pPr>
              <w:jc w:val="both"/>
              <w:rPr>
                <w:rFonts w:cs="Arial"/>
                <w:color w:val="000000"/>
                <w:sz w:val="18"/>
                <w:szCs w:val="18"/>
              </w:rPr>
            </w:pPr>
            <w:r w:rsidRPr="000379A6">
              <w:rPr>
                <w:rFonts w:cs="Arial"/>
                <w:color w:val="000000"/>
                <w:sz w:val="18"/>
              </w:rPr>
              <w:t>84.0%</w:t>
            </w:r>
          </w:p>
        </w:tc>
        <w:tc>
          <w:tcPr>
            <w:tcW w:w="502" w:type="pct"/>
            <w:tcBorders>
              <w:top w:val="nil"/>
              <w:left w:val="single" w:sz="4" w:space="0" w:color="auto"/>
              <w:bottom w:val="single" w:sz="8" w:space="0" w:color="auto"/>
              <w:right w:val="single" w:sz="4" w:space="0" w:color="auto"/>
            </w:tcBorders>
            <w:shd w:val="clear" w:color="auto" w:fill="C5E0B3" w:themeFill="accent6" w:themeFillTint="66"/>
            <w:vAlign w:val="center"/>
          </w:tcPr>
          <w:p w14:paraId="15C549D3" w14:textId="77777777" w:rsidR="007E5A4C" w:rsidRPr="009F2D72" w:rsidRDefault="007E5A4C" w:rsidP="000A5AB7">
            <w:pPr>
              <w:jc w:val="both"/>
              <w:rPr>
                <w:rFonts w:cs="Arial"/>
                <w:color w:val="000000"/>
                <w:sz w:val="20"/>
              </w:rPr>
            </w:pPr>
            <w:r w:rsidRPr="006076E8">
              <w:rPr>
                <w:rFonts w:cs="Arial"/>
                <w:color w:val="000000"/>
                <w:sz w:val="18"/>
              </w:rPr>
              <w:t>83.0%</w:t>
            </w:r>
          </w:p>
        </w:tc>
        <w:tc>
          <w:tcPr>
            <w:tcW w:w="495" w:type="pct"/>
            <w:tcBorders>
              <w:top w:val="nil"/>
              <w:left w:val="single" w:sz="4" w:space="0" w:color="auto"/>
              <w:bottom w:val="single" w:sz="8" w:space="0" w:color="auto"/>
              <w:right w:val="single" w:sz="8" w:space="0" w:color="auto"/>
            </w:tcBorders>
            <w:shd w:val="clear" w:color="auto" w:fill="auto"/>
            <w:vAlign w:val="center"/>
            <w:hideMark/>
          </w:tcPr>
          <w:p w14:paraId="4CADE0CB" w14:textId="77777777" w:rsidR="007E5A4C" w:rsidRPr="000379A6" w:rsidRDefault="007E5A4C" w:rsidP="000A5AB7">
            <w:pPr>
              <w:jc w:val="both"/>
              <w:rPr>
                <w:rFonts w:cs="Arial"/>
                <w:color w:val="000000"/>
                <w:sz w:val="18"/>
                <w:szCs w:val="18"/>
              </w:rPr>
            </w:pPr>
            <w:r w:rsidRPr="006076E8">
              <w:rPr>
                <w:rFonts w:cs="Arial"/>
                <w:sz w:val="18"/>
              </w:rPr>
              <w:t>77.2%</w:t>
            </w:r>
          </w:p>
        </w:tc>
      </w:tr>
      <w:tr w:rsidR="007E5A4C" w:rsidRPr="00D21CED" w14:paraId="2B4BA167" w14:textId="77777777" w:rsidTr="007E5A4C">
        <w:trPr>
          <w:trHeight w:val="6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tcPr>
          <w:p w14:paraId="1A402EAF" w14:textId="77777777" w:rsidR="007E5A4C" w:rsidRPr="00D21CED" w:rsidRDefault="007E5A4C" w:rsidP="000A5AB7">
            <w:pPr>
              <w:jc w:val="both"/>
              <w:rPr>
                <w:rFonts w:cs="Arial"/>
                <w:b/>
                <w:bCs/>
                <w:color w:val="000000"/>
                <w:sz w:val="18"/>
                <w:szCs w:val="18"/>
              </w:rPr>
            </w:pPr>
            <w:r w:rsidRPr="00D21CED">
              <w:rPr>
                <w:rFonts w:cs="Arial"/>
                <w:b/>
                <w:bCs/>
                <w:color w:val="000000"/>
                <w:sz w:val="18"/>
                <w:szCs w:val="18"/>
              </w:rPr>
              <w:lastRenderedPageBreak/>
              <w:t>Support for people to remain independent</w:t>
            </w:r>
            <w:r>
              <w:rPr>
                <w:rFonts w:cs="Arial"/>
                <w:b/>
                <w:bCs/>
                <w:color w:val="000000"/>
                <w:sz w:val="18"/>
                <w:szCs w:val="18"/>
              </w:rPr>
              <w:t xml:space="preserve">   </w:t>
            </w:r>
          </w:p>
        </w:tc>
      </w:tr>
      <w:tr w:rsidR="00C55A31" w:rsidRPr="00D21CED" w14:paraId="60353F22" w14:textId="77777777" w:rsidTr="00C55A31">
        <w:trPr>
          <w:trHeight w:val="219"/>
        </w:trPr>
        <w:tc>
          <w:tcPr>
            <w:tcW w:w="1640" w:type="pct"/>
            <w:tcBorders>
              <w:top w:val="nil"/>
              <w:left w:val="single" w:sz="8" w:space="0" w:color="auto"/>
              <w:bottom w:val="single" w:sz="4" w:space="0" w:color="auto"/>
              <w:right w:val="single" w:sz="8" w:space="0" w:color="auto"/>
            </w:tcBorders>
            <w:shd w:val="clear" w:color="auto" w:fill="auto"/>
            <w:vAlign w:val="center"/>
            <w:hideMark/>
          </w:tcPr>
          <w:p w14:paraId="0F7BBE3E" w14:textId="77777777" w:rsidR="00C55A31" w:rsidRPr="00D21CED" w:rsidRDefault="00C55A31" w:rsidP="000A5AB7">
            <w:pPr>
              <w:jc w:val="both"/>
              <w:rPr>
                <w:rFonts w:cs="Arial"/>
                <w:color w:val="000000"/>
                <w:sz w:val="18"/>
                <w:szCs w:val="18"/>
              </w:rPr>
            </w:pPr>
            <w:r w:rsidRPr="00D21CED">
              <w:rPr>
                <w:rFonts w:cs="Arial"/>
                <w:color w:val="000000"/>
                <w:sz w:val="18"/>
                <w:szCs w:val="18"/>
              </w:rPr>
              <w:t xml:space="preserve">Permanent admissions to residential and nursing care homes per 100,000 pop aged 18-64 (ASCOF) </w:t>
            </w:r>
            <w:r w:rsidR="00407851">
              <w:rPr>
                <w:rFonts w:cs="Arial"/>
                <w:color w:val="000000"/>
                <w:sz w:val="18"/>
                <w:szCs w:val="18"/>
              </w:rPr>
              <w:t>during the period</w:t>
            </w:r>
          </w:p>
        </w:tc>
        <w:tc>
          <w:tcPr>
            <w:tcW w:w="359" w:type="pct"/>
            <w:tcBorders>
              <w:top w:val="nil"/>
              <w:left w:val="nil"/>
              <w:bottom w:val="single" w:sz="4" w:space="0" w:color="auto"/>
              <w:right w:val="single" w:sz="8" w:space="0" w:color="auto"/>
            </w:tcBorders>
            <w:shd w:val="clear" w:color="auto" w:fill="auto"/>
            <w:vAlign w:val="center"/>
            <w:hideMark/>
          </w:tcPr>
          <w:p w14:paraId="193E117D" w14:textId="77777777" w:rsidR="00C55A31" w:rsidRPr="00D21CED" w:rsidRDefault="00C55A31" w:rsidP="000A5AB7">
            <w:pPr>
              <w:jc w:val="both"/>
              <w:rPr>
                <w:rFonts w:cs="Arial"/>
                <w:color w:val="000000"/>
                <w:sz w:val="18"/>
                <w:szCs w:val="18"/>
              </w:rPr>
            </w:pPr>
            <w:r w:rsidRPr="00D21CED">
              <w:rPr>
                <w:rFonts w:cs="Arial"/>
                <w:color w:val="000000"/>
                <w:sz w:val="18"/>
                <w:szCs w:val="18"/>
              </w:rPr>
              <w:t>L</w:t>
            </w:r>
          </w:p>
        </w:tc>
        <w:tc>
          <w:tcPr>
            <w:tcW w:w="502" w:type="pct"/>
            <w:tcBorders>
              <w:top w:val="nil"/>
              <w:left w:val="nil"/>
              <w:bottom w:val="single" w:sz="4" w:space="0" w:color="auto"/>
              <w:right w:val="single" w:sz="8" w:space="0" w:color="auto"/>
            </w:tcBorders>
            <w:shd w:val="clear" w:color="auto" w:fill="auto"/>
            <w:vAlign w:val="center"/>
            <w:hideMark/>
          </w:tcPr>
          <w:p w14:paraId="7D31AE64" w14:textId="77777777" w:rsidR="00C55A31" w:rsidRPr="00D21CED" w:rsidRDefault="00C55A31" w:rsidP="000A5AB7">
            <w:pPr>
              <w:jc w:val="both"/>
              <w:rPr>
                <w:rFonts w:cs="Arial"/>
                <w:color w:val="000000"/>
                <w:sz w:val="18"/>
                <w:szCs w:val="18"/>
              </w:rPr>
            </w:pPr>
            <w:r w:rsidRPr="00D21CED">
              <w:rPr>
                <w:rFonts w:cs="Arial"/>
                <w:color w:val="000000"/>
                <w:sz w:val="18"/>
                <w:szCs w:val="18"/>
              </w:rPr>
              <w:t>17</w:t>
            </w:r>
          </w:p>
        </w:tc>
        <w:tc>
          <w:tcPr>
            <w:tcW w:w="501" w:type="pct"/>
            <w:tcBorders>
              <w:top w:val="nil"/>
              <w:left w:val="nil"/>
              <w:bottom w:val="single" w:sz="4" w:space="0" w:color="auto"/>
              <w:right w:val="single" w:sz="8" w:space="0" w:color="auto"/>
            </w:tcBorders>
            <w:shd w:val="clear" w:color="auto" w:fill="auto"/>
            <w:vAlign w:val="center"/>
            <w:hideMark/>
          </w:tcPr>
          <w:p w14:paraId="75FC2531" w14:textId="77777777" w:rsidR="00C55A31" w:rsidRPr="00D21CED" w:rsidRDefault="00C55A31" w:rsidP="000A5AB7">
            <w:pPr>
              <w:jc w:val="both"/>
              <w:rPr>
                <w:rFonts w:cs="Arial"/>
                <w:color w:val="000000"/>
                <w:sz w:val="18"/>
                <w:szCs w:val="18"/>
              </w:rPr>
            </w:pPr>
            <w:r w:rsidRPr="00D21CED">
              <w:rPr>
                <w:rFonts w:cs="Arial"/>
                <w:color w:val="000000"/>
                <w:sz w:val="18"/>
                <w:szCs w:val="18"/>
              </w:rPr>
              <w:t>19</w:t>
            </w:r>
            <w:r>
              <w:rPr>
                <w:rFonts w:cs="Arial"/>
                <w:color w:val="000000"/>
                <w:sz w:val="18"/>
                <w:szCs w:val="18"/>
              </w:rPr>
              <w:t>.2</w:t>
            </w:r>
          </w:p>
        </w:tc>
        <w:tc>
          <w:tcPr>
            <w:tcW w:w="501" w:type="pct"/>
            <w:tcBorders>
              <w:top w:val="nil"/>
              <w:left w:val="nil"/>
              <w:bottom w:val="single" w:sz="4" w:space="0" w:color="auto"/>
              <w:right w:val="single" w:sz="8" w:space="0" w:color="auto"/>
            </w:tcBorders>
            <w:shd w:val="clear" w:color="auto" w:fill="auto"/>
            <w:vAlign w:val="center"/>
            <w:hideMark/>
          </w:tcPr>
          <w:p w14:paraId="652BB42C" w14:textId="77777777" w:rsidR="00C55A31" w:rsidRPr="00D21CED" w:rsidRDefault="00C55A31" w:rsidP="000A5AB7">
            <w:pPr>
              <w:jc w:val="both"/>
              <w:rPr>
                <w:rFonts w:cs="Arial"/>
                <w:color w:val="000000"/>
                <w:sz w:val="18"/>
                <w:szCs w:val="18"/>
              </w:rPr>
            </w:pPr>
            <w:r>
              <w:rPr>
                <w:rFonts w:cs="Arial"/>
                <w:color w:val="000000"/>
                <w:sz w:val="18"/>
                <w:szCs w:val="18"/>
              </w:rPr>
              <w:t>19.6</w:t>
            </w:r>
          </w:p>
        </w:tc>
        <w:tc>
          <w:tcPr>
            <w:tcW w:w="501" w:type="pct"/>
            <w:tcBorders>
              <w:top w:val="nil"/>
              <w:left w:val="single" w:sz="4" w:space="0" w:color="auto"/>
              <w:bottom w:val="single" w:sz="8" w:space="0" w:color="auto"/>
              <w:right w:val="single" w:sz="4" w:space="0" w:color="auto"/>
            </w:tcBorders>
            <w:shd w:val="clear" w:color="auto" w:fill="auto"/>
            <w:vAlign w:val="center"/>
          </w:tcPr>
          <w:p w14:paraId="58ABE110" w14:textId="6317BE1E" w:rsidR="00C55A31" w:rsidRPr="00547496" w:rsidRDefault="00C55A31" w:rsidP="000A5AB7">
            <w:pPr>
              <w:jc w:val="both"/>
              <w:rPr>
                <w:rFonts w:cs="Arial"/>
                <w:color w:val="000000" w:themeColor="text1"/>
                <w:sz w:val="18"/>
                <w:szCs w:val="18"/>
              </w:rPr>
            </w:pPr>
            <w:r>
              <w:rPr>
                <w:color w:val="000000" w:themeColor="text1"/>
                <w:sz w:val="18"/>
                <w:szCs w:val="18"/>
              </w:rPr>
              <w:t>17.5</w:t>
            </w:r>
          </w:p>
        </w:tc>
        <w:tc>
          <w:tcPr>
            <w:tcW w:w="502" w:type="pct"/>
            <w:tcBorders>
              <w:top w:val="nil"/>
              <w:left w:val="nil"/>
              <w:bottom w:val="single" w:sz="8" w:space="0" w:color="auto"/>
              <w:right w:val="single" w:sz="8" w:space="0" w:color="auto"/>
            </w:tcBorders>
            <w:shd w:val="clear" w:color="000000" w:fill="FF0000"/>
            <w:vAlign w:val="center"/>
          </w:tcPr>
          <w:p w14:paraId="54E5FDED" w14:textId="4B06CE2E" w:rsidR="00C55A31" w:rsidRPr="006076E8" w:rsidRDefault="00C55A31" w:rsidP="000A5AB7">
            <w:pPr>
              <w:jc w:val="both"/>
              <w:rPr>
                <w:color w:val="000000" w:themeColor="text1"/>
                <w:sz w:val="18"/>
                <w:szCs w:val="18"/>
              </w:rPr>
            </w:pPr>
            <w:r>
              <w:rPr>
                <w:rFonts w:cs="Arial"/>
                <w:color w:val="000000" w:themeColor="text1"/>
                <w:sz w:val="18"/>
                <w:szCs w:val="18"/>
              </w:rPr>
              <w:t>17</w:t>
            </w:r>
            <w:r w:rsidRPr="002A65C3">
              <w:rPr>
                <w:rFonts w:cs="Arial"/>
                <w:color w:val="000000" w:themeColor="text1"/>
                <w:sz w:val="18"/>
                <w:szCs w:val="18"/>
              </w:rPr>
              <w:t>.</w:t>
            </w:r>
            <w:r>
              <w:rPr>
                <w:rFonts w:cs="Arial"/>
                <w:color w:val="000000" w:themeColor="text1"/>
                <w:sz w:val="18"/>
                <w:szCs w:val="18"/>
              </w:rPr>
              <w:t>2</w:t>
            </w:r>
          </w:p>
        </w:tc>
        <w:tc>
          <w:tcPr>
            <w:tcW w:w="495" w:type="pct"/>
            <w:tcBorders>
              <w:top w:val="nil"/>
              <w:left w:val="nil"/>
              <w:bottom w:val="single" w:sz="8" w:space="0" w:color="auto"/>
              <w:right w:val="single" w:sz="8" w:space="0" w:color="auto"/>
            </w:tcBorders>
            <w:shd w:val="clear" w:color="000000" w:fill="FFFFFF"/>
            <w:vAlign w:val="center"/>
            <w:hideMark/>
          </w:tcPr>
          <w:p w14:paraId="164B4225" w14:textId="5F20A4A8" w:rsidR="00C55A31" w:rsidRPr="006076E8" w:rsidRDefault="00C55A31" w:rsidP="000A5AB7">
            <w:pPr>
              <w:jc w:val="both"/>
              <w:rPr>
                <w:rFonts w:cs="Arial"/>
                <w:sz w:val="18"/>
                <w:szCs w:val="18"/>
              </w:rPr>
            </w:pPr>
            <w:r>
              <w:rPr>
                <w:rFonts w:cs="Arial"/>
                <w:color w:val="000000" w:themeColor="text1"/>
                <w:sz w:val="18"/>
                <w:szCs w:val="18"/>
              </w:rPr>
              <w:t>14.0</w:t>
            </w:r>
          </w:p>
        </w:tc>
      </w:tr>
      <w:tr w:rsidR="00C55A31" w:rsidRPr="00D21CED" w14:paraId="1FE935CA" w14:textId="77777777" w:rsidTr="00C55A31">
        <w:trPr>
          <w:trHeight w:val="441"/>
        </w:trPr>
        <w:tc>
          <w:tcPr>
            <w:tcW w:w="1640"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75C3F64E" w14:textId="77777777" w:rsidR="00C55A31" w:rsidRPr="00D21CED" w:rsidRDefault="00C55A31" w:rsidP="000A5AB7">
            <w:pPr>
              <w:jc w:val="both"/>
              <w:rPr>
                <w:rFonts w:cs="Arial"/>
                <w:color w:val="000000"/>
                <w:sz w:val="18"/>
                <w:szCs w:val="18"/>
              </w:rPr>
            </w:pPr>
            <w:r w:rsidRPr="00D21CED">
              <w:rPr>
                <w:rFonts w:cs="Arial"/>
                <w:color w:val="000000"/>
                <w:sz w:val="18"/>
                <w:szCs w:val="18"/>
              </w:rPr>
              <w:t xml:space="preserve">Permanent admissions to residential and nursing care homes per 100,000 pop aged 65+ (ASCOF) </w:t>
            </w:r>
            <w:r w:rsidR="00407851">
              <w:rPr>
                <w:rFonts w:cs="Arial"/>
                <w:color w:val="000000"/>
                <w:sz w:val="18"/>
                <w:szCs w:val="18"/>
              </w:rPr>
              <w:t>during the period</w:t>
            </w:r>
          </w:p>
        </w:tc>
        <w:tc>
          <w:tcPr>
            <w:tcW w:w="359" w:type="pct"/>
            <w:tcBorders>
              <w:top w:val="single" w:sz="4" w:space="0" w:color="auto"/>
              <w:left w:val="nil"/>
              <w:bottom w:val="single" w:sz="4" w:space="0" w:color="auto"/>
              <w:right w:val="single" w:sz="8" w:space="0" w:color="auto"/>
            </w:tcBorders>
            <w:shd w:val="clear" w:color="auto" w:fill="auto"/>
            <w:vAlign w:val="center"/>
            <w:hideMark/>
          </w:tcPr>
          <w:p w14:paraId="79CD114F" w14:textId="77777777" w:rsidR="00C55A31" w:rsidRPr="00D21CED" w:rsidRDefault="00C55A31" w:rsidP="000A5AB7">
            <w:pPr>
              <w:jc w:val="both"/>
              <w:rPr>
                <w:rFonts w:cs="Arial"/>
                <w:color w:val="000000"/>
                <w:sz w:val="18"/>
                <w:szCs w:val="18"/>
              </w:rPr>
            </w:pPr>
            <w:r w:rsidRPr="00D21CED">
              <w:rPr>
                <w:rFonts w:cs="Arial"/>
                <w:color w:val="000000"/>
                <w:sz w:val="18"/>
                <w:szCs w:val="18"/>
              </w:rPr>
              <w:t>L</w:t>
            </w:r>
          </w:p>
        </w:tc>
        <w:tc>
          <w:tcPr>
            <w:tcW w:w="502" w:type="pct"/>
            <w:tcBorders>
              <w:top w:val="single" w:sz="4" w:space="0" w:color="auto"/>
              <w:left w:val="nil"/>
              <w:bottom w:val="single" w:sz="4" w:space="0" w:color="auto"/>
              <w:right w:val="single" w:sz="8" w:space="0" w:color="auto"/>
            </w:tcBorders>
            <w:shd w:val="clear" w:color="auto" w:fill="auto"/>
            <w:vAlign w:val="center"/>
            <w:hideMark/>
          </w:tcPr>
          <w:p w14:paraId="4B1DF105" w14:textId="77777777" w:rsidR="00C55A31" w:rsidRPr="00D21CED" w:rsidRDefault="00C55A31" w:rsidP="000A5AB7">
            <w:pPr>
              <w:jc w:val="both"/>
              <w:rPr>
                <w:rFonts w:cs="Arial"/>
                <w:color w:val="000000"/>
                <w:sz w:val="18"/>
                <w:szCs w:val="18"/>
              </w:rPr>
            </w:pPr>
            <w:r w:rsidRPr="00D21CED">
              <w:rPr>
                <w:rFonts w:cs="Arial"/>
                <w:color w:val="000000"/>
                <w:sz w:val="18"/>
                <w:szCs w:val="18"/>
              </w:rPr>
              <w:t>742.3</w:t>
            </w:r>
          </w:p>
        </w:tc>
        <w:tc>
          <w:tcPr>
            <w:tcW w:w="501" w:type="pct"/>
            <w:tcBorders>
              <w:top w:val="single" w:sz="4" w:space="0" w:color="auto"/>
              <w:left w:val="nil"/>
              <w:bottom w:val="single" w:sz="4" w:space="0" w:color="auto"/>
              <w:right w:val="single" w:sz="8" w:space="0" w:color="auto"/>
            </w:tcBorders>
            <w:shd w:val="clear" w:color="auto" w:fill="auto"/>
            <w:vAlign w:val="center"/>
            <w:hideMark/>
          </w:tcPr>
          <w:p w14:paraId="56B42741" w14:textId="77777777" w:rsidR="00C55A31" w:rsidRPr="00D21CED" w:rsidRDefault="00C55A31" w:rsidP="000A5AB7">
            <w:pPr>
              <w:jc w:val="both"/>
              <w:rPr>
                <w:rFonts w:cs="Arial"/>
                <w:color w:val="000000"/>
                <w:sz w:val="18"/>
                <w:szCs w:val="18"/>
              </w:rPr>
            </w:pPr>
            <w:r>
              <w:rPr>
                <w:rFonts w:cs="Arial"/>
                <w:color w:val="000000"/>
                <w:sz w:val="18"/>
                <w:szCs w:val="18"/>
              </w:rPr>
              <w:t>728</w:t>
            </w:r>
            <w:r w:rsidRPr="00D21CED">
              <w:rPr>
                <w:rFonts w:cs="Arial"/>
                <w:color w:val="000000"/>
                <w:sz w:val="18"/>
                <w:szCs w:val="18"/>
              </w:rPr>
              <w:t>.</w:t>
            </w:r>
            <w:r>
              <w:rPr>
                <w:rFonts w:cs="Arial"/>
                <w:color w:val="000000"/>
                <w:sz w:val="18"/>
                <w:szCs w:val="18"/>
              </w:rPr>
              <w:t>9</w:t>
            </w:r>
          </w:p>
        </w:tc>
        <w:tc>
          <w:tcPr>
            <w:tcW w:w="501" w:type="pct"/>
            <w:tcBorders>
              <w:top w:val="single" w:sz="4" w:space="0" w:color="auto"/>
              <w:left w:val="nil"/>
              <w:bottom w:val="single" w:sz="4" w:space="0" w:color="auto"/>
              <w:right w:val="single" w:sz="8" w:space="0" w:color="auto"/>
            </w:tcBorders>
            <w:shd w:val="clear" w:color="auto" w:fill="auto"/>
            <w:vAlign w:val="center"/>
            <w:hideMark/>
          </w:tcPr>
          <w:p w14:paraId="5852CBAB" w14:textId="77777777" w:rsidR="00C55A31" w:rsidRPr="00D21CED" w:rsidRDefault="00C55A31" w:rsidP="000A5AB7">
            <w:pPr>
              <w:jc w:val="both"/>
              <w:rPr>
                <w:rFonts w:cs="Arial"/>
                <w:color w:val="000000"/>
                <w:sz w:val="18"/>
                <w:szCs w:val="18"/>
              </w:rPr>
            </w:pPr>
            <w:r>
              <w:rPr>
                <w:rFonts w:cs="Arial"/>
                <w:color w:val="000000"/>
                <w:sz w:val="18"/>
                <w:szCs w:val="18"/>
              </w:rPr>
              <w:t>731.7</w:t>
            </w:r>
          </w:p>
        </w:tc>
        <w:tc>
          <w:tcPr>
            <w:tcW w:w="501" w:type="pct"/>
            <w:tcBorders>
              <w:top w:val="nil"/>
              <w:left w:val="single" w:sz="4" w:space="0" w:color="auto"/>
              <w:bottom w:val="single" w:sz="8" w:space="0" w:color="auto"/>
              <w:right w:val="single" w:sz="4" w:space="0" w:color="auto"/>
            </w:tcBorders>
            <w:shd w:val="clear" w:color="auto" w:fill="auto"/>
            <w:vAlign w:val="center"/>
          </w:tcPr>
          <w:p w14:paraId="7B5C3DE7" w14:textId="77777777" w:rsidR="00C55A31" w:rsidRPr="000379A6" w:rsidRDefault="00C55A31" w:rsidP="000A5AB7">
            <w:pPr>
              <w:jc w:val="both"/>
              <w:rPr>
                <w:rFonts w:cs="Arial"/>
                <w:color w:val="000000"/>
                <w:sz w:val="18"/>
                <w:szCs w:val="18"/>
              </w:rPr>
            </w:pPr>
            <w:r>
              <w:rPr>
                <w:color w:val="000000" w:themeColor="text1"/>
                <w:sz w:val="18"/>
                <w:szCs w:val="18"/>
              </w:rPr>
              <w:t>729.7</w:t>
            </w:r>
          </w:p>
        </w:tc>
        <w:tc>
          <w:tcPr>
            <w:tcW w:w="502" w:type="pct"/>
            <w:tcBorders>
              <w:top w:val="nil"/>
              <w:left w:val="nil"/>
              <w:bottom w:val="single" w:sz="8" w:space="0" w:color="auto"/>
              <w:right w:val="single" w:sz="8" w:space="0" w:color="auto"/>
            </w:tcBorders>
            <w:shd w:val="clear" w:color="000000" w:fill="FF0000"/>
            <w:vAlign w:val="center"/>
          </w:tcPr>
          <w:p w14:paraId="1CBFBE82" w14:textId="77777777" w:rsidR="00C55A31" w:rsidRPr="006076E8" w:rsidRDefault="00C55A31" w:rsidP="000A5AB7">
            <w:pPr>
              <w:jc w:val="both"/>
              <w:rPr>
                <w:color w:val="000000" w:themeColor="text1"/>
                <w:sz w:val="18"/>
                <w:szCs w:val="18"/>
              </w:rPr>
            </w:pPr>
            <w:r>
              <w:rPr>
                <w:rFonts w:cs="Arial"/>
                <w:color w:val="000000" w:themeColor="text1"/>
                <w:sz w:val="18"/>
                <w:szCs w:val="18"/>
              </w:rPr>
              <w:t>709.3</w:t>
            </w:r>
          </w:p>
        </w:tc>
        <w:tc>
          <w:tcPr>
            <w:tcW w:w="495" w:type="pct"/>
            <w:tcBorders>
              <w:top w:val="nil"/>
              <w:left w:val="nil"/>
              <w:bottom w:val="single" w:sz="8" w:space="0" w:color="auto"/>
              <w:right w:val="single" w:sz="8" w:space="0" w:color="auto"/>
            </w:tcBorders>
            <w:shd w:val="clear" w:color="000000" w:fill="FFFFFF"/>
            <w:vAlign w:val="center"/>
            <w:hideMark/>
          </w:tcPr>
          <w:p w14:paraId="02FC30CF" w14:textId="77777777" w:rsidR="00C55A31" w:rsidRPr="006076E8" w:rsidRDefault="00C55A31" w:rsidP="000A5AB7">
            <w:pPr>
              <w:jc w:val="both"/>
              <w:rPr>
                <w:rFonts w:cs="Arial"/>
                <w:sz w:val="18"/>
                <w:szCs w:val="18"/>
              </w:rPr>
            </w:pPr>
            <w:r>
              <w:rPr>
                <w:rFonts w:cs="Arial"/>
                <w:color w:val="000000" w:themeColor="text1"/>
                <w:sz w:val="18"/>
                <w:szCs w:val="18"/>
              </w:rPr>
              <w:t>585.6</w:t>
            </w:r>
          </w:p>
        </w:tc>
      </w:tr>
      <w:tr w:rsidR="00C55A31" w:rsidRPr="00D21CED" w14:paraId="005A0FBE" w14:textId="77777777" w:rsidTr="00C55A31">
        <w:trPr>
          <w:trHeight w:val="223"/>
        </w:trPr>
        <w:tc>
          <w:tcPr>
            <w:tcW w:w="1640"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50C14FE4" w14:textId="77777777" w:rsidR="00C55A31" w:rsidRPr="00D21CED" w:rsidRDefault="00C55A31" w:rsidP="000A5AB7">
            <w:pPr>
              <w:jc w:val="both"/>
              <w:rPr>
                <w:rFonts w:cs="Arial"/>
                <w:color w:val="000000"/>
                <w:sz w:val="18"/>
                <w:szCs w:val="18"/>
              </w:rPr>
            </w:pPr>
            <w:r w:rsidRPr="00D21CED">
              <w:rPr>
                <w:rFonts w:cs="Arial"/>
                <w:color w:val="000000"/>
                <w:sz w:val="18"/>
                <w:szCs w:val="18"/>
              </w:rPr>
              <w:t xml:space="preserve">Number of permanent admissions to residential and nursing care homes pop aged 65+ </w:t>
            </w:r>
            <w:r w:rsidR="00407851">
              <w:rPr>
                <w:rFonts w:cs="Arial"/>
                <w:color w:val="000000"/>
                <w:sz w:val="18"/>
                <w:szCs w:val="18"/>
              </w:rPr>
              <w:t>during the period</w:t>
            </w:r>
          </w:p>
        </w:tc>
        <w:tc>
          <w:tcPr>
            <w:tcW w:w="359" w:type="pct"/>
            <w:tcBorders>
              <w:top w:val="single" w:sz="4" w:space="0" w:color="auto"/>
              <w:left w:val="nil"/>
              <w:bottom w:val="single" w:sz="4" w:space="0" w:color="auto"/>
              <w:right w:val="single" w:sz="8" w:space="0" w:color="auto"/>
            </w:tcBorders>
            <w:shd w:val="clear" w:color="auto" w:fill="auto"/>
            <w:vAlign w:val="center"/>
            <w:hideMark/>
          </w:tcPr>
          <w:p w14:paraId="2322AF94" w14:textId="77777777" w:rsidR="00C55A31" w:rsidRPr="00D21CED" w:rsidRDefault="00C55A31" w:rsidP="000A5AB7">
            <w:pPr>
              <w:jc w:val="both"/>
              <w:rPr>
                <w:rFonts w:cs="Arial"/>
                <w:color w:val="000000"/>
                <w:sz w:val="18"/>
                <w:szCs w:val="18"/>
              </w:rPr>
            </w:pPr>
            <w:r w:rsidRPr="00D21CED">
              <w:rPr>
                <w:rFonts w:cs="Arial"/>
                <w:color w:val="000000"/>
                <w:sz w:val="18"/>
                <w:szCs w:val="18"/>
              </w:rPr>
              <w:t>L</w:t>
            </w:r>
          </w:p>
        </w:tc>
        <w:tc>
          <w:tcPr>
            <w:tcW w:w="502" w:type="pct"/>
            <w:tcBorders>
              <w:top w:val="single" w:sz="4" w:space="0" w:color="auto"/>
              <w:left w:val="nil"/>
              <w:bottom w:val="single" w:sz="4" w:space="0" w:color="auto"/>
              <w:right w:val="single" w:sz="8" w:space="0" w:color="auto"/>
            </w:tcBorders>
            <w:shd w:val="clear" w:color="auto" w:fill="auto"/>
            <w:vAlign w:val="center"/>
            <w:hideMark/>
          </w:tcPr>
          <w:p w14:paraId="04B67AC4" w14:textId="77777777" w:rsidR="00C55A31" w:rsidRPr="00D21CED" w:rsidRDefault="00C55A31" w:rsidP="000A5AB7">
            <w:pPr>
              <w:jc w:val="both"/>
              <w:rPr>
                <w:rFonts w:cs="Arial"/>
                <w:color w:val="000000"/>
                <w:sz w:val="18"/>
                <w:szCs w:val="18"/>
              </w:rPr>
            </w:pPr>
            <w:r w:rsidRPr="00D21CED">
              <w:rPr>
                <w:rFonts w:cs="Arial"/>
                <w:color w:val="000000"/>
                <w:sz w:val="18"/>
                <w:szCs w:val="18"/>
              </w:rPr>
              <w:t>1,795</w:t>
            </w:r>
          </w:p>
        </w:tc>
        <w:tc>
          <w:tcPr>
            <w:tcW w:w="501" w:type="pct"/>
            <w:tcBorders>
              <w:top w:val="single" w:sz="4" w:space="0" w:color="auto"/>
              <w:left w:val="nil"/>
              <w:bottom w:val="single" w:sz="4" w:space="0" w:color="auto"/>
              <w:right w:val="single" w:sz="8" w:space="0" w:color="auto"/>
            </w:tcBorders>
            <w:shd w:val="clear" w:color="auto" w:fill="auto"/>
            <w:vAlign w:val="center"/>
            <w:hideMark/>
          </w:tcPr>
          <w:p w14:paraId="679054F1" w14:textId="77777777" w:rsidR="00C55A31" w:rsidRPr="00D21CED" w:rsidRDefault="00C55A31" w:rsidP="000A5AB7">
            <w:pPr>
              <w:jc w:val="both"/>
              <w:rPr>
                <w:rFonts w:cs="Arial"/>
                <w:color w:val="000000"/>
                <w:sz w:val="18"/>
                <w:szCs w:val="18"/>
              </w:rPr>
            </w:pPr>
            <w:r w:rsidRPr="00D21CED">
              <w:rPr>
                <w:rFonts w:cs="Arial"/>
                <w:color w:val="000000"/>
                <w:sz w:val="18"/>
                <w:szCs w:val="18"/>
              </w:rPr>
              <w:t>1,761</w:t>
            </w:r>
          </w:p>
        </w:tc>
        <w:tc>
          <w:tcPr>
            <w:tcW w:w="501" w:type="pct"/>
            <w:tcBorders>
              <w:top w:val="single" w:sz="4" w:space="0" w:color="auto"/>
              <w:left w:val="nil"/>
              <w:bottom w:val="single" w:sz="4" w:space="0" w:color="auto"/>
              <w:right w:val="single" w:sz="8" w:space="0" w:color="auto"/>
            </w:tcBorders>
            <w:shd w:val="clear" w:color="auto" w:fill="auto"/>
            <w:vAlign w:val="center"/>
            <w:hideMark/>
          </w:tcPr>
          <w:p w14:paraId="2717940B" w14:textId="77777777" w:rsidR="00C55A31" w:rsidRPr="00D21CED" w:rsidRDefault="00C55A31" w:rsidP="000A5AB7">
            <w:pPr>
              <w:jc w:val="both"/>
              <w:rPr>
                <w:rFonts w:cs="Arial"/>
                <w:color w:val="000000"/>
                <w:sz w:val="18"/>
                <w:szCs w:val="18"/>
              </w:rPr>
            </w:pPr>
            <w:r w:rsidRPr="00D21CED">
              <w:rPr>
                <w:rFonts w:cs="Arial"/>
                <w:color w:val="000000"/>
                <w:sz w:val="18"/>
                <w:szCs w:val="18"/>
              </w:rPr>
              <w:t>1,792</w:t>
            </w:r>
          </w:p>
        </w:tc>
        <w:tc>
          <w:tcPr>
            <w:tcW w:w="501" w:type="pct"/>
            <w:tcBorders>
              <w:top w:val="nil"/>
              <w:left w:val="single" w:sz="4" w:space="0" w:color="auto"/>
              <w:bottom w:val="single" w:sz="8" w:space="0" w:color="auto"/>
              <w:right w:val="single" w:sz="4" w:space="0" w:color="auto"/>
            </w:tcBorders>
            <w:shd w:val="clear" w:color="auto" w:fill="auto"/>
            <w:vAlign w:val="center"/>
          </w:tcPr>
          <w:p w14:paraId="4E973274" w14:textId="77777777" w:rsidR="00C55A31" w:rsidRPr="000379A6" w:rsidRDefault="00C55A31" w:rsidP="000A5AB7">
            <w:pPr>
              <w:jc w:val="both"/>
              <w:rPr>
                <w:rFonts w:cs="Arial"/>
                <w:color w:val="000000"/>
                <w:sz w:val="18"/>
                <w:szCs w:val="18"/>
              </w:rPr>
            </w:pPr>
            <w:r>
              <w:rPr>
                <w:color w:val="000000" w:themeColor="text1"/>
                <w:sz w:val="18"/>
                <w:szCs w:val="18"/>
              </w:rPr>
              <w:t>1,787</w:t>
            </w:r>
          </w:p>
        </w:tc>
        <w:tc>
          <w:tcPr>
            <w:tcW w:w="502" w:type="pct"/>
            <w:tcBorders>
              <w:top w:val="nil"/>
              <w:left w:val="nil"/>
              <w:bottom w:val="single" w:sz="8" w:space="0" w:color="auto"/>
              <w:right w:val="single" w:sz="8" w:space="0" w:color="auto"/>
            </w:tcBorders>
            <w:shd w:val="clear" w:color="000000" w:fill="FF0000"/>
            <w:vAlign w:val="center"/>
          </w:tcPr>
          <w:p w14:paraId="1977586C" w14:textId="77777777" w:rsidR="00C55A31" w:rsidRPr="006076E8" w:rsidRDefault="00C55A31" w:rsidP="000A5AB7">
            <w:pPr>
              <w:jc w:val="both"/>
              <w:rPr>
                <w:color w:val="000000" w:themeColor="text1"/>
                <w:sz w:val="18"/>
                <w:szCs w:val="18"/>
              </w:rPr>
            </w:pPr>
            <w:r>
              <w:rPr>
                <w:rFonts w:cs="Arial"/>
                <w:color w:val="000000" w:themeColor="text1"/>
                <w:sz w:val="18"/>
                <w:szCs w:val="18"/>
              </w:rPr>
              <w:t>1,737</w:t>
            </w:r>
          </w:p>
        </w:tc>
        <w:tc>
          <w:tcPr>
            <w:tcW w:w="495" w:type="pct"/>
            <w:tcBorders>
              <w:top w:val="nil"/>
              <w:left w:val="nil"/>
              <w:bottom w:val="single" w:sz="8" w:space="0" w:color="auto"/>
              <w:right w:val="single" w:sz="8" w:space="0" w:color="auto"/>
            </w:tcBorders>
            <w:shd w:val="clear" w:color="000000" w:fill="FFFFFF"/>
            <w:vAlign w:val="center"/>
            <w:hideMark/>
          </w:tcPr>
          <w:p w14:paraId="1287D744" w14:textId="77777777" w:rsidR="00C55A31" w:rsidRPr="006076E8" w:rsidRDefault="00C55A31" w:rsidP="000A5AB7">
            <w:pPr>
              <w:jc w:val="both"/>
              <w:rPr>
                <w:rFonts w:cs="Arial"/>
                <w:sz w:val="18"/>
                <w:szCs w:val="18"/>
              </w:rPr>
            </w:pPr>
            <w:r>
              <w:rPr>
                <w:rFonts w:cs="Arial"/>
                <w:color w:val="000000" w:themeColor="text1"/>
                <w:sz w:val="18"/>
                <w:szCs w:val="18"/>
              </w:rPr>
              <w:t>-</w:t>
            </w:r>
          </w:p>
        </w:tc>
      </w:tr>
      <w:tr w:rsidR="007E5A4C" w:rsidRPr="00D21CED" w14:paraId="49F922C6" w14:textId="77777777" w:rsidTr="003F1E3E">
        <w:trPr>
          <w:trHeight w:val="74"/>
        </w:trPr>
        <w:tc>
          <w:tcPr>
            <w:tcW w:w="1640" w:type="pct"/>
            <w:tcBorders>
              <w:top w:val="single" w:sz="4" w:space="0" w:color="auto"/>
              <w:left w:val="single" w:sz="8" w:space="0" w:color="auto"/>
              <w:bottom w:val="single" w:sz="4" w:space="0" w:color="auto"/>
              <w:right w:val="single" w:sz="8" w:space="0" w:color="auto"/>
            </w:tcBorders>
            <w:shd w:val="clear" w:color="auto" w:fill="auto"/>
            <w:vAlign w:val="center"/>
          </w:tcPr>
          <w:p w14:paraId="1A1A9CCE" w14:textId="77777777" w:rsidR="007E5A4C" w:rsidRPr="00D21CED" w:rsidRDefault="007E5A4C" w:rsidP="000A5AB7">
            <w:pPr>
              <w:jc w:val="both"/>
              <w:rPr>
                <w:rFonts w:cs="Arial"/>
                <w:color w:val="000000"/>
                <w:sz w:val="18"/>
                <w:szCs w:val="18"/>
              </w:rPr>
            </w:pPr>
            <w:r w:rsidRPr="00F25E23">
              <w:rPr>
                <w:rFonts w:cs="Arial"/>
                <w:color w:val="000000"/>
                <w:sz w:val="18"/>
                <w:szCs w:val="18"/>
              </w:rPr>
              <w:t xml:space="preserve">Waiting times for OT assessments (snapshot number of clients in OT allocation </w:t>
            </w:r>
            <w:r w:rsidR="00C74844" w:rsidRPr="00F25E23">
              <w:rPr>
                <w:rFonts w:cs="Arial"/>
                <w:color w:val="000000"/>
                <w:sz w:val="18"/>
                <w:szCs w:val="18"/>
              </w:rPr>
              <w:t>work tray</w:t>
            </w:r>
            <w:r w:rsidRPr="00F25E23">
              <w:rPr>
                <w:rFonts w:cs="Arial"/>
                <w:color w:val="000000"/>
                <w:sz w:val="18"/>
                <w:szCs w:val="18"/>
              </w:rPr>
              <w:t>)</w:t>
            </w:r>
          </w:p>
        </w:tc>
        <w:tc>
          <w:tcPr>
            <w:tcW w:w="359" w:type="pct"/>
            <w:tcBorders>
              <w:top w:val="single" w:sz="4" w:space="0" w:color="auto"/>
              <w:left w:val="nil"/>
              <w:bottom w:val="single" w:sz="4" w:space="0" w:color="auto"/>
              <w:right w:val="single" w:sz="8" w:space="0" w:color="auto"/>
            </w:tcBorders>
            <w:shd w:val="clear" w:color="auto" w:fill="auto"/>
            <w:vAlign w:val="center"/>
          </w:tcPr>
          <w:p w14:paraId="09FE47D5" w14:textId="77777777" w:rsidR="007E5A4C" w:rsidRPr="00D21CED" w:rsidRDefault="007E5A4C" w:rsidP="000A5AB7">
            <w:pPr>
              <w:jc w:val="both"/>
              <w:rPr>
                <w:rFonts w:cs="Arial"/>
                <w:color w:val="000000"/>
                <w:sz w:val="18"/>
                <w:szCs w:val="18"/>
              </w:rPr>
            </w:pPr>
            <w:r>
              <w:rPr>
                <w:rFonts w:cs="Arial"/>
                <w:color w:val="000000"/>
                <w:sz w:val="18"/>
                <w:szCs w:val="18"/>
              </w:rPr>
              <w:t>L</w:t>
            </w:r>
          </w:p>
        </w:tc>
        <w:tc>
          <w:tcPr>
            <w:tcW w:w="502" w:type="pct"/>
            <w:tcBorders>
              <w:top w:val="single" w:sz="4" w:space="0" w:color="auto"/>
              <w:left w:val="nil"/>
              <w:bottom w:val="single" w:sz="4" w:space="0" w:color="auto"/>
              <w:right w:val="single" w:sz="8" w:space="0" w:color="auto"/>
            </w:tcBorders>
            <w:shd w:val="clear" w:color="auto" w:fill="auto"/>
            <w:vAlign w:val="center"/>
          </w:tcPr>
          <w:p w14:paraId="7B1672AD" w14:textId="77777777" w:rsidR="007E5A4C" w:rsidRPr="00D21CED" w:rsidRDefault="007E5A4C" w:rsidP="000A5AB7">
            <w:pPr>
              <w:jc w:val="both"/>
              <w:rPr>
                <w:rFonts w:cs="Arial"/>
                <w:color w:val="000000"/>
                <w:sz w:val="18"/>
                <w:szCs w:val="18"/>
              </w:rPr>
            </w:pPr>
            <w:r>
              <w:rPr>
                <w:rFonts w:cs="Arial"/>
                <w:color w:val="000000"/>
                <w:sz w:val="18"/>
                <w:szCs w:val="18"/>
              </w:rPr>
              <w:t>1,995</w:t>
            </w:r>
          </w:p>
        </w:tc>
        <w:tc>
          <w:tcPr>
            <w:tcW w:w="501" w:type="pct"/>
            <w:tcBorders>
              <w:top w:val="single" w:sz="4" w:space="0" w:color="auto"/>
              <w:left w:val="nil"/>
              <w:bottom w:val="single" w:sz="4" w:space="0" w:color="auto"/>
              <w:right w:val="single" w:sz="8" w:space="0" w:color="auto"/>
            </w:tcBorders>
            <w:shd w:val="clear" w:color="auto" w:fill="auto"/>
            <w:vAlign w:val="center"/>
          </w:tcPr>
          <w:p w14:paraId="273A4101" w14:textId="77777777" w:rsidR="007E5A4C" w:rsidRPr="00F25E23" w:rsidRDefault="007E5A4C" w:rsidP="000A5AB7">
            <w:pPr>
              <w:jc w:val="both"/>
              <w:rPr>
                <w:rFonts w:cs="Arial"/>
                <w:color w:val="000000"/>
                <w:sz w:val="18"/>
                <w:szCs w:val="18"/>
              </w:rPr>
            </w:pPr>
            <w:r w:rsidRPr="00F25E23">
              <w:rPr>
                <w:rFonts w:cs="Arial"/>
                <w:color w:val="000000"/>
                <w:sz w:val="18"/>
              </w:rPr>
              <w:t>1,384</w:t>
            </w:r>
          </w:p>
        </w:tc>
        <w:tc>
          <w:tcPr>
            <w:tcW w:w="501" w:type="pct"/>
            <w:tcBorders>
              <w:top w:val="single" w:sz="4" w:space="0" w:color="auto"/>
              <w:left w:val="nil"/>
              <w:bottom w:val="single" w:sz="4" w:space="0" w:color="auto"/>
              <w:right w:val="single" w:sz="8" w:space="0" w:color="auto"/>
            </w:tcBorders>
            <w:shd w:val="clear" w:color="auto" w:fill="auto"/>
            <w:vAlign w:val="center"/>
          </w:tcPr>
          <w:p w14:paraId="00DC8D79" w14:textId="77777777" w:rsidR="007E5A4C" w:rsidRPr="00F25E23" w:rsidRDefault="007E5A4C" w:rsidP="000A5AB7">
            <w:pPr>
              <w:jc w:val="both"/>
              <w:rPr>
                <w:rFonts w:cs="Arial"/>
                <w:color w:val="000000"/>
                <w:sz w:val="18"/>
                <w:szCs w:val="18"/>
              </w:rPr>
            </w:pPr>
            <w:r w:rsidRPr="00F25E23">
              <w:rPr>
                <w:rFonts w:cs="Arial"/>
                <w:color w:val="000000"/>
                <w:sz w:val="18"/>
              </w:rPr>
              <w:t>1,140</w:t>
            </w:r>
          </w:p>
        </w:tc>
        <w:tc>
          <w:tcPr>
            <w:tcW w:w="501" w:type="pct"/>
            <w:tcBorders>
              <w:top w:val="single" w:sz="4" w:space="0" w:color="auto"/>
              <w:left w:val="nil"/>
              <w:bottom w:val="single" w:sz="4" w:space="0" w:color="auto"/>
              <w:right w:val="single" w:sz="4" w:space="0" w:color="auto"/>
            </w:tcBorders>
            <w:shd w:val="clear" w:color="auto" w:fill="auto"/>
            <w:vAlign w:val="center"/>
          </w:tcPr>
          <w:p w14:paraId="282C00B9" w14:textId="77777777" w:rsidR="007E5A4C" w:rsidRPr="00F25E23" w:rsidRDefault="007E5A4C" w:rsidP="000A5AB7">
            <w:pPr>
              <w:jc w:val="both"/>
              <w:rPr>
                <w:rFonts w:cs="Arial"/>
                <w:color w:val="000000"/>
                <w:sz w:val="18"/>
              </w:rPr>
            </w:pPr>
            <w:r w:rsidRPr="00F25E23">
              <w:rPr>
                <w:rFonts w:cs="Arial"/>
                <w:color w:val="000000"/>
                <w:sz w:val="18"/>
              </w:rPr>
              <w:t>745</w:t>
            </w:r>
          </w:p>
        </w:tc>
        <w:tc>
          <w:tcPr>
            <w:tcW w:w="50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2481AA" w14:textId="77777777" w:rsidR="007E5A4C" w:rsidRPr="006076E8" w:rsidRDefault="007E5A4C" w:rsidP="000A5AB7">
            <w:pPr>
              <w:jc w:val="both"/>
              <w:rPr>
                <w:rFonts w:cs="Arial"/>
                <w:color w:val="000000"/>
                <w:sz w:val="18"/>
              </w:rPr>
            </w:pPr>
            <w:r w:rsidRPr="006076E8">
              <w:rPr>
                <w:rFonts w:cs="Arial"/>
                <w:color w:val="000000"/>
                <w:sz w:val="18"/>
              </w:rPr>
              <w:t>320</w:t>
            </w:r>
          </w:p>
        </w:tc>
        <w:tc>
          <w:tcPr>
            <w:tcW w:w="495" w:type="pct"/>
            <w:tcBorders>
              <w:top w:val="single" w:sz="4" w:space="0" w:color="auto"/>
              <w:left w:val="single" w:sz="4" w:space="0" w:color="auto"/>
              <w:bottom w:val="single" w:sz="4" w:space="0" w:color="auto"/>
              <w:right w:val="single" w:sz="8" w:space="0" w:color="auto"/>
            </w:tcBorders>
            <w:shd w:val="clear" w:color="auto" w:fill="auto"/>
            <w:vAlign w:val="center"/>
          </w:tcPr>
          <w:p w14:paraId="028F2E8A" w14:textId="77777777" w:rsidR="007E5A4C" w:rsidRPr="006076E8" w:rsidRDefault="007E5A4C" w:rsidP="000A5AB7">
            <w:pPr>
              <w:jc w:val="both"/>
              <w:rPr>
                <w:rFonts w:cs="Arial"/>
                <w:sz w:val="18"/>
              </w:rPr>
            </w:pPr>
            <w:r w:rsidRPr="006076E8">
              <w:rPr>
                <w:rFonts w:cs="Arial"/>
                <w:sz w:val="18"/>
              </w:rPr>
              <w:t>-</w:t>
            </w:r>
          </w:p>
        </w:tc>
      </w:tr>
      <w:tr w:rsidR="007E5A4C" w:rsidRPr="00D21CED" w14:paraId="761026E3" w14:textId="77777777" w:rsidTr="003F1E3E">
        <w:trPr>
          <w:trHeight w:val="74"/>
        </w:trPr>
        <w:tc>
          <w:tcPr>
            <w:tcW w:w="1640"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75B7DA13" w14:textId="7B267C29" w:rsidR="007E5A4C" w:rsidRPr="00D21CED" w:rsidRDefault="007E5A4C" w:rsidP="000A5AB7">
            <w:pPr>
              <w:jc w:val="both"/>
              <w:rPr>
                <w:rFonts w:cs="Arial"/>
                <w:color w:val="000000"/>
                <w:sz w:val="18"/>
                <w:szCs w:val="18"/>
              </w:rPr>
            </w:pPr>
            <w:r w:rsidRPr="00D21CED">
              <w:rPr>
                <w:rFonts w:cs="Arial"/>
                <w:color w:val="000000"/>
                <w:sz w:val="18"/>
                <w:szCs w:val="18"/>
              </w:rPr>
              <w:t xml:space="preserve">Number of </w:t>
            </w:r>
            <w:proofErr w:type="spellStart"/>
            <w:r w:rsidR="006057BC">
              <w:rPr>
                <w:rFonts w:cs="Arial"/>
                <w:color w:val="000000"/>
                <w:sz w:val="18"/>
                <w:szCs w:val="18"/>
              </w:rPr>
              <w:t>re</w:t>
            </w:r>
            <w:r w:rsidR="00C74844" w:rsidRPr="00D21CED">
              <w:rPr>
                <w:rFonts w:cs="Arial"/>
                <w:color w:val="000000"/>
                <w:sz w:val="18"/>
                <w:szCs w:val="18"/>
              </w:rPr>
              <w:t>ablement</w:t>
            </w:r>
            <w:proofErr w:type="spellEnd"/>
            <w:r w:rsidRPr="00D21CED">
              <w:rPr>
                <w:rFonts w:cs="Arial"/>
                <w:color w:val="000000"/>
                <w:sz w:val="18"/>
                <w:szCs w:val="18"/>
              </w:rPr>
              <w:t xml:space="preserve"> referrals  </w:t>
            </w:r>
            <w:r w:rsidR="00407851">
              <w:rPr>
                <w:rFonts w:cs="Arial"/>
                <w:color w:val="000000"/>
                <w:sz w:val="18"/>
                <w:szCs w:val="18"/>
              </w:rPr>
              <w:t>during the period</w:t>
            </w:r>
          </w:p>
        </w:tc>
        <w:tc>
          <w:tcPr>
            <w:tcW w:w="359" w:type="pct"/>
            <w:tcBorders>
              <w:top w:val="single" w:sz="4" w:space="0" w:color="auto"/>
              <w:left w:val="nil"/>
              <w:bottom w:val="single" w:sz="4" w:space="0" w:color="auto"/>
              <w:right w:val="single" w:sz="8" w:space="0" w:color="auto"/>
            </w:tcBorders>
            <w:shd w:val="clear" w:color="auto" w:fill="auto"/>
            <w:vAlign w:val="center"/>
            <w:hideMark/>
          </w:tcPr>
          <w:p w14:paraId="2935FB12" w14:textId="77777777" w:rsidR="007E5A4C" w:rsidRPr="00D21CED" w:rsidRDefault="007E5A4C" w:rsidP="000A5AB7">
            <w:pPr>
              <w:jc w:val="both"/>
              <w:rPr>
                <w:rFonts w:cs="Arial"/>
                <w:color w:val="000000"/>
                <w:sz w:val="18"/>
                <w:szCs w:val="18"/>
              </w:rPr>
            </w:pPr>
            <w:r w:rsidRPr="00D21CED">
              <w:rPr>
                <w:rFonts w:cs="Arial"/>
                <w:color w:val="000000"/>
                <w:sz w:val="18"/>
                <w:szCs w:val="18"/>
              </w:rPr>
              <w:t>H</w:t>
            </w:r>
          </w:p>
        </w:tc>
        <w:tc>
          <w:tcPr>
            <w:tcW w:w="502" w:type="pct"/>
            <w:tcBorders>
              <w:top w:val="single" w:sz="4" w:space="0" w:color="auto"/>
              <w:left w:val="nil"/>
              <w:bottom w:val="single" w:sz="4" w:space="0" w:color="auto"/>
              <w:right w:val="single" w:sz="8" w:space="0" w:color="auto"/>
            </w:tcBorders>
            <w:shd w:val="clear" w:color="auto" w:fill="auto"/>
            <w:vAlign w:val="center"/>
            <w:hideMark/>
          </w:tcPr>
          <w:p w14:paraId="16EDB83C" w14:textId="77777777" w:rsidR="007E5A4C" w:rsidRPr="00D21CED" w:rsidRDefault="007E5A4C" w:rsidP="000A5AB7">
            <w:pPr>
              <w:jc w:val="both"/>
              <w:rPr>
                <w:rFonts w:cs="Arial"/>
                <w:color w:val="000000"/>
                <w:sz w:val="18"/>
                <w:szCs w:val="18"/>
              </w:rPr>
            </w:pPr>
            <w:r w:rsidRPr="00D21CED">
              <w:rPr>
                <w:rFonts w:cs="Arial"/>
                <w:color w:val="000000"/>
                <w:sz w:val="18"/>
                <w:szCs w:val="18"/>
              </w:rPr>
              <w:t>3,642</w:t>
            </w:r>
          </w:p>
        </w:tc>
        <w:tc>
          <w:tcPr>
            <w:tcW w:w="501" w:type="pct"/>
            <w:tcBorders>
              <w:top w:val="single" w:sz="4" w:space="0" w:color="auto"/>
              <w:left w:val="nil"/>
              <w:bottom w:val="single" w:sz="4" w:space="0" w:color="auto"/>
              <w:right w:val="single" w:sz="8" w:space="0" w:color="auto"/>
            </w:tcBorders>
            <w:shd w:val="clear" w:color="auto" w:fill="auto"/>
            <w:vAlign w:val="center"/>
            <w:hideMark/>
          </w:tcPr>
          <w:p w14:paraId="38C18F58" w14:textId="77777777" w:rsidR="007E5A4C" w:rsidRPr="00D21CED" w:rsidRDefault="007E5A4C" w:rsidP="000A5AB7">
            <w:pPr>
              <w:jc w:val="both"/>
              <w:rPr>
                <w:rFonts w:cs="Arial"/>
                <w:color w:val="000000"/>
                <w:sz w:val="18"/>
                <w:szCs w:val="18"/>
              </w:rPr>
            </w:pPr>
            <w:r w:rsidRPr="00D21CED">
              <w:rPr>
                <w:rFonts w:cs="Arial"/>
                <w:color w:val="000000"/>
                <w:sz w:val="18"/>
                <w:szCs w:val="18"/>
              </w:rPr>
              <w:t>7,392</w:t>
            </w:r>
          </w:p>
        </w:tc>
        <w:tc>
          <w:tcPr>
            <w:tcW w:w="501" w:type="pct"/>
            <w:tcBorders>
              <w:top w:val="single" w:sz="4" w:space="0" w:color="auto"/>
              <w:left w:val="nil"/>
              <w:bottom w:val="single" w:sz="4" w:space="0" w:color="auto"/>
              <w:right w:val="single" w:sz="8" w:space="0" w:color="auto"/>
            </w:tcBorders>
            <w:shd w:val="clear" w:color="auto" w:fill="auto"/>
            <w:vAlign w:val="center"/>
            <w:hideMark/>
          </w:tcPr>
          <w:p w14:paraId="74A4E9A0" w14:textId="77777777" w:rsidR="007E5A4C" w:rsidRPr="00D21CED" w:rsidRDefault="007E5A4C" w:rsidP="000A5AB7">
            <w:pPr>
              <w:jc w:val="both"/>
              <w:rPr>
                <w:rFonts w:cs="Arial"/>
                <w:color w:val="000000"/>
                <w:sz w:val="18"/>
                <w:szCs w:val="18"/>
              </w:rPr>
            </w:pPr>
            <w:r w:rsidRPr="00D21CED">
              <w:rPr>
                <w:rFonts w:cs="Arial"/>
                <w:color w:val="000000"/>
                <w:sz w:val="18"/>
                <w:szCs w:val="18"/>
              </w:rPr>
              <w:t>2,079</w:t>
            </w:r>
          </w:p>
        </w:tc>
        <w:tc>
          <w:tcPr>
            <w:tcW w:w="501" w:type="pct"/>
            <w:tcBorders>
              <w:top w:val="single" w:sz="4" w:space="0" w:color="auto"/>
              <w:left w:val="nil"/>
              <w:bottom w:val="single" w:sz="4" w:space="0" w:color="auto"/>
              <w:right w:val="single" w:sz="4" w:space="0" w:color="auto"/>
            </w:tcBorders>
            <w:shd w:val="clear" w:color="auto" w:fill="auto"/>
            <w:vAlign w:val="center"/>
          </w:tcPr>
          <w:p w14:paraId="75A383FA" w14:textId="77777777" w:rsidR="007E5A4C" w:rsidRPr="000379A6" w:rsidRDefault="003F1E3E" w:rsidP="000A5AB7">
            <w:pPr>
              <w:jc w:val="both"/>
              <w:rPr>
                <w:rFonts w:cs="Arial"/>
                <w:color w:val="000000"/>
                <w:sz w:val="18"/>
                <w:szCs w:val="18"/>
              </w:rPr>
            </w:pPr>
            <w:r>
              <w:rPr>
                <w:rFonts w:cs="Arial"/>
                <w:color w:val="000000"/>
                <w:sz w:val="18"/>
                <w:szCs w:val="18"/>
              </w:rPr>
              <w:t>2,037</w:t>
            </w:r>
          </w:p>
        </w:tc>
        <w:tc>
          <w:tcPr>
            <w:tcW w:w="50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0AFA8B" w14:textId="77777777" w:rsidR="007E5A4C" w:rsidRDefault="003F1E3E" w:rsidP="000A5AB7">
            <w:pPr>
              <w:jc w:val="both"/>
              <w:rPr>
                <w:rFonts w:cs="Arial"/>
                <w:color w:val="000000"/>
                <w:sz w:val="18"/>
                <w:szCs w:val="18"/>
              </w:rPr>
            </w:pPr>
            <w:r>
              <w:rPr>
                <w:rFonts w:cs="Arial"/>
                <w:color w:val="000000"/>
                <w:sz w:val="18"/>
                <w:szCs w:val="18"/>
              </w:rPr>
              <w:t>1,811</w:t>
            </w:r>
          </w:p>
          <w:p w14:paraId="493A6F8D" w14:textId="77777777" w:rsidR="002C33E0" w:rsidRPr="003F1E3E" w:rsidRDefault="002C33E0" w:rsidP="000A5AB7">
            <w:pPr>
              <w:jc w:val="both"/>
              <w:rPr>
                <w:rFonts w:cs="Arial"/>
                <w:color w:val="FF0000"/>
                <w:sz w:val="18"/>
              </w:rPr>
            </w:pPr>
            <w:r>
              <w:rPr>
                <w:rFonts w:cs="Arial"/>
                <w:color w:val="000000"/>
                <w:sz w:val="18"/>
              </w:rPr>
              <w:t>(3</w:t>
            </w:r>
            <w:r w:rsidR="00C4147E">
              <w:rPr>
                <w:rFonts w:cs="Arial"/>
                <w:color w:val="000000"/>
                <w:sz w:val="18"/>
              </w:rPr>
              <w:t xml:space="preserve"> </w:t>
            </w:r>
            <w:r>
              <w:rPr>
                <w:rFonts w:cs="Arial"/>
                <w:color w:val="000000"/>
                <w:sz w:val="18"/>
              </w:rPr>
              <w:t>m</w:t>
            </w:r>
            <w:r w:rsidR="00C4147E">
              <w:rPr>
                <w:rFonts w:cs="Arial"/>
                <w:color w:val="000000"/>
                <w:sz w:val="18"/>
              </w:rPr>
              <w:t xml:space="preserve">onth </w:t>
            </w:r>
            <w:r>
              <w:rPr>
                <w:rFonts w:cs="Arial"/>
                <w:color w:val="000000"/>
                <w:sz w:val="18"/>
              </w:rPr>
              <w:t xml:space="preserve"> ave</w:t>
            </w:r>
            <w:r w:rsidR="00C4147E">
              <w:rPr>
                <w:rFonts w:cs="Arial"/>
                <w:color w:val="000000"/>
                <w:sz w:val="18"/>
              </w:rPr>
              <w:t>rage</w:t>
            </w:r>
            <w:r>
              <w:rPr>
                <w:rFonts w:cs="Arial"/>
                <w:color w:val="000000"/>
                <w:sz w:val="18"/>
              </w:rPr>
              <w:t>)</w:t>
            </w:r>
          </w:p>
        </w:tc>
        <w:tc>
          <w:tcPr>
            <w:tcW w:w="49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61D651E2" w14:textId="77777777" w:rsidR="007E5A4C" w:rsidRPr="006076E8" w:rsidRDefault="007E5A4C" w:rsidP="000A5AB7">
            <w:pPr>
              <w:jc w:val="both"/>
              <w:rPr>
                <w:rFonts w:cs="Arial"/>
                <w:sz w:val="18"/>
                <w:szCs w:val="18"/>
              </w:rPr>
            </w:pPr>
            <w:r w:rsidRPr="006076E8">
              <w:rPr>
                <w:rFonts w:cs="Arial"/>
                <w:sz w:val="18"/>
              </w:rPr>
              <w:t>-</w:t>
            </w:r>
          </w:p>
        </w:tc>
      </w:tr>
      <w:tr w:rsidR="007E5A4C" w:rsidRPr="00D21CED" w14:paraId="43CBBF27" w14:textId="77777777" w:rsidTr="003F1E3E">
        <w:trPr>
          <w:trHeight w:val="60"/>
        </w:trPr>
        <w:tc>
          <w:tcPr>
            <w:tcW w:w="1640"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4B0BFDC" w14:textId="66A28546" w:rsidR="007E5A4C" w:rsidRPr="00D21CED" w:rsidRDefault="007E5A4C" w:rsidP="000A5AB7">
            <w:pPr>
              <w:jc w:val="both"/>
              <w:rPr>
                <w:rFonts w:cs="Arial"/>
                <w:color w:val="000000"/>
                <w:sz w:val="18"/>
                <w:szCs w:val="18"/>
              </w:rPr>
            </w:pPr>
            <w:r w:rsidRPr="00D21CED">
              <w:rPr>
                <w:rFonts w:cs="Arial"/>
                <w:color w:val="000000"/>
                <w:sz w:val="18"/>
                <w:szCs w:val="18"/>
              </w:rPr>
              <w:t xml:space="preserve">Number of completed </w:t>
            </w:r>
            <w:proofErr w:type="spellStart"/>
            <w:r w:rsidR="006057BC">
              <w:rPr>
                <w:rFonts w:cs="Arial"/>
                <w:color w:val="000000"/>
                <w:sz w:val="18"/>
                <w:szCs w:val="18"/>
              </w:rPr>
              <w:t>re</w:t>
            </w:r>
            <w:r w:rsidR="00C74844" w:rsidRPr="00D21CED">
              <w:rPr>
                <w:rFonts w:cs="Arial"/>
                <w:color w:val="000000"/>
                <w:sz w:val="18"/>
                <w:szCs w:val="18"/>
              </w:rPr>
              <w:t>ablement</w:t>
            </w:r>
            <w:proofErr w:type="spellEnd"/>
            <w:r w:rsidRPr="00D21CED">
              <w:rPr>
                <w:rFonts w:cs="Arial"/>
                <w:color w:val="000000"/>
                <w:sz w:val="18"/>
                <w:szCs w:val="18"/>
              </w:rPr>
              <w:t xml:space="preserve"> support plans </w:t>
            </w:r>
            <w:r w:rsidR="00407851">
              <w:rPr>
                <w:rFonts w:cs="Arial"/>
                <w:color w:val="000000"/>
                <w:sz w:val="18"/>
                <w:szCs w:val="18"/>
              </w:rPr>
              <w:t>during the period</w:t>
            </w:r>
          </w:p>
        </w:tc>
        <w:tc>
          <w:tcPr>
            <w:tcW w:w="359" w:type="pct"/>
            <w:tcBorders>
              <w:top w:val="single" w:sz="4" w:space="0" w:color="auto"/>
              <w:left w:val="nil"/>
              <w:bottom w:val="single" w:sz="4" w:space="0" w:color="auto"/>
              <w:right w:val="single" w:sz="8" w:space="0" w:color="auto"/>
            </w:tcBorders>
            <w:shd w:val="clear" w:color="auto" w:fill="auto"/>
            <w:vAlign w:val="center"/>
            <w:hideMark/>
          </w:tcPr>
          <w:p w14:paraId="6BBD3C40" w14:textId="77777777" w:rsidR="007E5A4C" w:rsidRPr="00D21CED" w:rsidRDefault="007E5A4C" w:rsidP="000A5AB7">
            <w:pPr>
              <w:jc w:val="both"/>
              <w:rPr>
                <w:rFonts w:cs="Arial"/>
                <w:color w:val="000000"/>
                <w:sz w:val="18"/>
                <w:szCs w:val="18"/>
              </w:rPr>
            </w:pPr>
            <w:r w:rsidRPr="00D21CED">
              <w:rPr>
                <w:rFonts w:cs="Arial"/>
                <w:color w:val="000000"/>
                <w:sz w:val="18"/>
                <w:szCs w:val="18"/>
              </w:rPr>
              <w:t>H</w:t>
            </w:r>
          </w:p>
        </w:tc>
        <w:tc>
          <w:tcPr>
            <w:tcW w:w="502" w:type="pct"/>
            <w:tcBorders>
              <w:top w:val="single" w:sz="4" w:space="0" w:color="auto"/>
              <w:left w:val="nil"/>
              <w:bottom w:val="single" w:sz="4" w:space="0" w:color="auto"/>
              <w:right w:val="single" w:sz="8" w:space="0" w:color="auto"/>
            </w:tcBorders>
            <w:shd w:val="clear" w:color="auto" w:fill="auto"/>
            <w:vAlign w:val="center"/>
            <w:hideMark/>
          </w:tcPr>
          <w:p w14:paraId="55BD6194" w14:textId="77777777" w:rsidR="007E5A4C" w:rsidRPr="00D21CED" w:rsidRDefault="007E5A4C" w:rsidP="000A5AB7">
            <w:pPr>
              <w:jc w:val="both"/>
              <w:rPr>
                <w:rFonts w:cs="Arial"/>
                <w:color w:val="000000"/>
                <w:sz w:val="18"/>
                <w:szCs w:val="18"/>
              </w:rPr>
            </w:pPr>
            <w:r w:rsidRPr="00D21CED">
              <w:rPr>
                <w:rFonts w:cs="Arial"/>
                <w:color w:val="000000"/>
                <w:sz w:val="18"/>
                <w:szCs w:val="18"/>
              </w:rPr>
              <w:t>3,207</w:t>
            </w:r>
          </w:p>
        </w:tc>
        <w:tc>
          <w:tcPr>
            <w:tcW w:w="501" w:type="pct"/>
            <w:tcBorders>
              <w:top w:val="single" w:sz="4" w:space="0" w:color="auto"/>
              <w:left w:val="nil"/>
              <w:bottom w:val="single" w:sz="4" w:space="0" w:color="auto"/>
              <w:right w:val="single" w:sz="8" w:space="0" w:color="auto"/>
            </w:tcBorders>
            <w:shd w:val="clear" w:color="auto" w:fill="auto"/>
            <w:vAlign w:val="center"/>
            <w:hideMark/>
          </w:tcPr>
          <w:p w14:paraId="5D554E32" w14:textId="77777777" w:rsidR="007E5A4C" w:rsidRPr="00D21CED" w:rsidRDefault="007E5A4C" w:rsidP="000A5AB7">
            <w:pPr>
              <w:jc w:val="both"/>
              <w:rPr>
                <w:rFonts w:cs="Arial"/>
                <w:color w:val="000000"/>
                <w:sz w:val="18"/>
                <w:szCs w:val="18"/>
              </w:rPr>
            </w:pPr>
            <w:r w:rsidRPr="00D21CED">
              <w:rPr>
                <w:rFonts w:cs="Arial"/>
                <w:color w:val="000000"/>
                <w:sz w:val="18"/>
                <w:szCs w:val="18"/>
              </w:rPr>
              <w:t>6,657</w:t>
            </w:r>
          </w:p>
        </w:tc>
        <w:tc>
          <w:tcPr>
            <w:tcW w:w="501" w:type="pct"/>
            <w:tcBorders>
              <w:top w:val="single" w:sz="4" w:space="0" w:color="auto"/>
              <w:left w:val="nil"/>
              <w:bottom w:val="single" w:sz="4" w:space="0" w:color="auto"/>
              <w:right w:val="single" w:sz="8" w:space="0" w:color="auto"/>
            </w:tcBorders>
            <w:shd w:val="clear" w:color="auto" w:fill="auto"/>
            <w:vAlign w:val="center"/>
            <w:hideMark/>
          </w:tcPr>
          <w:p w14:paraId="2CA5AF6E" w14:textId="77777777" w:rsidR="007E5A4C" w:rsidRPr="00D21CED" w:rsidRDefault="007E5A4C" w:rsidP="000A5AB7">
            <w:pPr>
              <w:jc w:val="both"/>
              <w:rPr>
                <w:rFonts w:cs="Arial"/>
                <w:color w:val="000000"/>
                <w:sz w:val="18"/>
                <w:szCs w:val="18"/>
              </w:rPr>
            </w:pPr>
            <w:r w:rsidRPr="00D21CED">
              <w:rPr>
                <w:rFonts w:cs="Arial"/>
                <w:color w:val="000000"/>
                <w:sz w:val="18"/>
                <w:szCs w:val="18"/>
              </w:rPr>
              <w:t>1,851</w:t>
            </w:r>
          </w:p>
        </w:tc>
        <w:tc>
          <w:tcPr>
            <w:tcW w:w="501" w:type="pct"/>
            <w:tcBorders>
              <w:top w:val="single" w:sz="4" w:space="0" w:color="auto"/>
              <w:left w:val="nil"/>
              <w:bottom w:val="single" w:sz="4" w:space="0" w:color="auto"/>
              <w:right w:val="single" w:sz="4" w:space="0" w:color="auto"/>
            </w:tcBorders>
            <w:shd w:val="clear" w:color="auto" w:fill="auto"/>
            <w:vAlign w:val="center"/>
          </w:tcPr>
          <w:p w14:paraId="6B47CB93" w14:textId="77777777" w:rsidR="007E5A4C" w:rsidRPr="000379A6" w:rsidRDefault="003F1E3E" w:rsidP="000A5AB7">
            <w:pPr>
              <w:jc w:val="both"/>
              <w:rPr>
                <w:rFonts w:cs="Arial"/>
                <w:color w:val="000000"/>
                <w:sz w:val="18"/>
                <w:szCs w:val="18"/>
              </w:rPr>
            </w:pPr>
            <w:r>
              <w:rPr>
                <w:rFonts w:cs="Arial"/>
                <w:color w:val="000000"/>
                <w:sz w:val="18"/>
                <w:szCs w:val="18"/>
              </w:rPr>
              <w:t>1,646</w:t>
            </w:r>
          </w:p>
        </w:tc>
        <w:tc>
          <w:tcPr>
            <w:tcW w:w="50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59C495" w14:textId="77777777" w:rsidR="007E5A4C" w:rsidRDefault="003F1E3E" w:rsidP="000A5AB7">
            <w:pPr>
              <w:jc w:val="both"/>
              <w:rPr>
                <w:rFonts w:cs="Arial"/>
                <w:color w:val="000000"/>
                <w:sz w:val="18"/>
                <w:szCs w:val="18"/>
              </w:rPr>
            </w:pPr>
            <w:r>
              <w:rPr>
                <w:rFonts w:cs="Arial"/>
                <w:color w:val="000000"/>
                <w:sz w:val="18"/>
                <w:szCs w:val="18"/>
              </w:rPr>
              <w:t>1,643</w:t>
            </w:r>
          </w:p>
          <w:p w14:paraId="5AD75D79" w14:textId="77777777" w:rsidR="002C33E0" w:rsidRPr="003F1E3E" w:rsidRDefault="002C33E0" w:rsidP="000A5AB7">
            <w:pPr>
              <w:jc w:val="both"/>
              <w:rPr>
                <w:rFonts w:cs="Arial"/>
                <w:color w:val="FF0000"/>
                <w:sz w:val="18"/>
              </w:rPr>
            </w:pPr>
            <w:r>
              <w:rPr>
                <w:rFonts w:cs="Arial"/>
                <w:color w:val="000000"/>
                <w:sz w:val="18"/>
              </w:rPr>
              <w:t xml:space="preserve">(3m </w:t>
            </w:r>
            <w:proofErr w:type="spellStart"/>
            <w:r>
              <w:rPr>
                <w:rFonts w:cs="Arial"/>
                <w:color w:val="000000"/>
                <w:sz w:val="18"/>
              </w:rPr>
              <w:t>ave.</w:t>
            </w:r>
            <w:proofErr w:type="spellEnd"/>
            <w:r>
              <w:rPr>
                <w:rFonts w:cs="Arial"/>
                <w:color w:val="000000"/>
                <w:sz w:val="18"/>
              </w:rPr>
              <w:t>)</w:t>
            </w:r>
          </w:p>
        </w:tc>
        <w:tc>
          <w:tcPr>
            <w:tcW w:w="49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329C087" w14:textId="77777777" w:rsidR="007E5A4C" w:rsidRPr="006076E8" w:rsidRDefault="007E5A4C" w:rsidP="000A5AB7">
            <w:pPr>
              <w:jc w:val="both"/>
              <w:rPr>
                <w:rFonts w:cs="Arial"/>
                <w:sz w:val="18"/>
                <w:szCs w:val="18"/>
              </w:rPr>
            </w:pPr>
            <w:r w:rsidRPr="006076E8">
              <w:rPr>
                <w:rFonts w:cs="Arial"/>
                <w:sz w:val="18"/>
              </w:rPr>
              <w:t>-</w:t>
            </w:r>
          </w:p>
        </w:tc>
      </w:tr>
      <w:tr w:rsidR="007E5A4C" w:rsidRPr="00D21CED" w14:paraId="7D6ABA69" w14:textId="77777777" w:rsidTr="003F1E3E">
        <w:trPr>
          <w:trHeight w:val="60"/>
        </w:trPr>
        <w:tc>
          <w:tcPr>
            <w:tcW w:w="164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A711946" w14:textId="772CA5F3" w:rsidR="007E5A4C" w:rsidRPr="00D21CED" w:rsidRDefault="007E5A4C" w:rsidP="000A5AB7">
            <w:pPr>
              <w:jc w:val="both"/>
              <w:rPr>
                <w:rFonts w:cs="Arial"/>
                <w:color w:val="000000"/>
                <w:sz w:val="18"/>
                <w:szCs w:val="18"/>
              </w:rPr>
            </w:pPr>
            <w:r w:rsidRPr="00D21CED">
              <w:rPr>
                <w:rFonts w:cs="Arial"/>
                <w:color w:val="000000"/>
                <w:sz w:val="18"/>
                <w:szCs w:val="18"/>
              </w:rPr>
              <w:t>Proportion of older people (65 and over) who were still at home 91 days after discharge</w:t>
            </w:r>
            <w:r>
              <w:rPr>
                <w:rFonts w:cs="Arial"/>
                <w:color w:val="000000"/>
                <w:sz w:val="18"/>
                <w:szCs w:val="18"/>
              </w:rPr>
              <w:t xml:space="preserve"> from hospital into </w:t>
            </w:r>
            <w:proofErr w:type="spellStart"/>
            <w:r w:rsidR="007A4968">
              <w:rPr>
                <w:rFonts w:cs="Arial"/>
                <w:color w:val="000000"/>
                <w:sz w:val="18"/>
                <w:szCs w:val="18"/>
              </w:rPr>
              <w:t>re</w:t>
            </w:r>
            <w:r w:rsidR="00C74844">
              <w:rPr>
                <w:rFonts w:cs="Arial"/>
                <w:color w:val="000000"/>
                <w:sz w:val="18"/>
                <w:szCs w:val="18"/>
              </w:rPr>
              <w:t>ablement</w:t>
            </w:r>
            <w:proofErr w:type="spellEnd"/>
            <w:r>
              <w:rPr>
                <w:rFonts w:cs="Arial"/>
                <w:color w:val="000000"/>
                <w:sz w:val="18"/>
                <w:szCs w:val="18"/>
              </w:rPr>
              <w:t>/</w:t>
            </w:r>
            <w:r w:rsidR="003F1E3E">
              <w:rPr>
                <w:rFonts w:cs="Arial"/>
                <w:color w:val="000000"/>
                <w:sz w:val="18"/>
                <w:szCs w:val="18"/>
              </w:rPr>
              <w:t xml:space="preserve">rehabilitation </w:t>
            </w:r>
            <w:r w:rsidRPr="00D21CED">
              <w:rPr>
                <w:rFonts w:cs="Arial"/>
                <w:color w:val="000000"/>
                <w:sz w:val="18"/>
                <w:szCs w:val="18"/>
              </w:rPr>
              <w:t xml:space="preserve">services (ASCOF) </w:t>
            </w:r>
            <w:r w:rsidR="003F1E3E">
              <w:rPr>
                <w:rFonts w:cs="Arial"/>
                <w:color w:val="000000"/>
                <w:sz w:val="18"/>
                <w:szCs w:val="18"/>
              </w:rPr>
              <w:t>during the period</w:t>
            </w:r>
          </w:p>
        </w:tc>
        <w:tc>
          <w:tcPr>
            <w:tcW w:w="359" w:type="pct"/>
            <w:tcBorders>
              <w:top w:val="single" w:sz="4" w:space="0" w:color="auto"/>
              <w:left w:val="nil"/>
              <w:bottom w:val="single" w:sz="8" w:space="0" w:color="auto"/>
              <w:right w:val="single" w:sz="8" w:space="0" w:color="auto"/>
            </w:tcBorders>
            <w:shd w:val="clear" w:color="auto" w:fill="auto"/>
            <w:vAlign w:val="center"/>
            <w:hideMark/>
          </w:tcPr>
          <w:p w14:paraId="5FE39806" w14:textId="77777777" w:rsidR="007E5A4C" w:rsidRPr="00D21CED" w:rsidRDefault="007E5A4C" w:rsidP="000A5AB7">
            <w:pPr>
              <w:jc w:val="both"/>
              <w:rPr>
                <w:rFonts w:cs="Arial"/>
                <w:color w:val="000000"/>
                <w:sz w:val="18"/>
                <w:szCs w:val="18"/>
              </w:rPr>
            </w:pPr>
            <w:r w:rsidRPr="00D21CED">
              <w:rPr>
                <w:rFonts w:cs="Arial"/>
                <w:color w:val="000000"/>
                <w:sz w:val="18"/>
                <w:szCs w:val="18"/>
              </w:rPr>
              <w:t>H</w:t>
            </w:r>
          </w:p>
        </w:tc>
        <w:tc>
          <w:tcPr>
            <w:tcW w:w="502" w:type="pct"/>
            <w:tcBorders>
              <w:top w:val="single" w:sz="4" w:space="0" w:color="auto"/>
              <w:left w:val="nil"/>
              <w:bottom w:val="single" w:sz="8" w:space="0" w:color="auto"/>
              <w:right w:val="single" w:sz="8" w:space="0" w:color="auto"/>
            </w:tcBorders>
            <w:shd w:val="clear" w:color="auto" w:fill="auto"/>
            <w:vAlign w:val="center"/>
            <w:hideMark/>
          </w:tcPr>
          <w:p w14:paraId="394C194A" w14:textId="77777777" w:rsidR="007E5A4C" w:rsidRPr="00D21CED" w:rsidRDefault="007E5A4C" w:rsidP="000A5AB7">
            <w:pPr>
              <w:jc w:val="both"/>
              <w:rPr>
                <w:rFonts w:cs="Arial"/>
                <w:color w:val="000000"/>
                <w:sz w:val="18"/>
                <w:szCs w:val="18"/>
              </w:rPr>
            </w:pPr>
            <w:r>
              <w:rPr>
                <w:rFonts w:cs="Arial"/>
                <w:color w:val="000000"/>
                <w:sz w:val="18"/>
                <w:szCs w:val="18"/>
              </w:rPr>
              <w:t>83.8</w:t>
            </w:r>
            <w:r w:rsidRPr="00D21CED">
              <w:rPr>
                <w:rFonts w:cs="Arial"/>
                <w:color w:val="000000"/>
                <w:sz w:val="18"/>
                <w:szCs w:val="18"/>
              </w:rPr>
              <w:t>%</w:t>
            </w:r>
          </w:p>
        </w:tc>
        <w:tc>
          <w:tcPr>
            <w:tcW w:w="501" w:type="pct"/>
            <w:tcBorders>
              <w:top w:val="single" w:sz="4" w:space="0" w:color="auto"/>
              <w:left w:val="nil"/>
              <w:bottom w:val="single" w:sz="8" w:space="0" w:color="auto"/>
              <w:right w:val="single" w:sz="8" w:space="0" w:color="auto"/>
            </w:tcBorders>
            <w:shd w:val="clear" w:color="auto" w:fill="auto"/>
            <w:vAlign w:val="center"/>
            <w:hideMark/>
          </w:tcPr>
          <w:p w14:paraId="3772F012" w14:textId="77777777" w:rsidR="007E5A4C" w:rsidRPr="00D21CED" w:rsidRDefault="007E5A4C" w:rsidP="000A5AB7">
            <w:pPr>
              <w:jc w:val="both"/>
              <w:rPr>
                <w:rFonts w:cs="Arial"/>
                <w:color w:val="000000"/>
                <w:sz w:val="18"/>
                <w:szCs w:val="18"/>
              </w:rPr>
            </w:pPr>
            <w:r>
              <w:rPr>
                <w:rFonts w:cs="Arial"/>
                <w:color w:val="000000"/>
                <w:sz w:val="18"/>
                <w:szCs w:val="18"/>
              </w:rPr>
              <w:t>88.1</w:t>
            </w:r>
            <w:r w:rsidRPr="00D21CED">
              <w:rPr>
                <w:rFonts w:cs="Arial"/>
                <w:color w:val="000000"/>
                <w:sz w:val="18"/>
                <w:szCs w:val="18"/>
              </w:rPr>
              <w:t>%</w:t>
            </w:r>
          </w:p>
        </w:tc>
        <w:tc>
          <w:tcPr>
            <w:tcW w:w="501" w:type="pct"/>
            <w:tcBorders>
              <w:top w:val="single" w:sz="4" w:space="0" w:color="auto"/>
              <w:left w:val="nil"/>
              <w:bottom w:val="single" w:sz="8" w:space="0" w:color="auto"/>
              <w:right w:val="single" w:sz="8" w:space="0" w:color="auto"/>
            </w:tcBorders>
            <w:shd w:val="clear" w:color="auto" w:fill="auto"/>
            <w:vAlign w:val="center"/>
            <w:hideMark/>
          </w:tcPr>
          <w:p w14:paraId="4F70A141" w14:textId="77777777" w:rsidR="007E5A4C" w:rsidRPr="00D21CED" w:rsidRDefault="007E5A4C" w:rsidP="000A5AB7">
            <w:pPr>
              <w:jc w:val="both"/>
              <w:rPr>
                <w:rFonts w:cs="Arial"/>
                <w:color w:val="000000"/>
                <w:sz w:val="18"/>
                <w:szCs w:val="18"/>
              </w:rPr>
            </w:pPr>
            <w:r w:rsidRPr="00D21CED">
              <w:rPr>
                <w:rFonts w:cs="Arial"/>
                <w:color w:val="000000"/>
                <w:sz w:val="18"/>
                <w:szCs w:val="18"/>
              </w:rPr>
              <w:t>88.2%</w:t>
            </w:r>
          </w:p>
        </w:tc>
        <w:tc>
          <w:tcPr>
            <w:tcW w:w="501" w:type="pct"/>
            <w:tcBorders>
              <w:top w:val="single" w:sz="4" w:space="0" w:color="auto"/>
              <w:left w:val="nil"/>
              <w:bottom w:val="single" w:sz="8" w:space="0" w:color="auto"/>
              <w:right w:val="single" w:sz="4" w:space="0" w:color="auto"/>
            </w:tcBorders>
            <w:shd w:val="clear" w:color="auto" w:fill="auto"/>
            <w:vAlign w:val="center"/>
          </w:tcPr>
          <w:p w14:paraId="2EE715BA" w14:textId="77777777" w:rsidR="007E5A4C" w:rsidRPr="000379A6" w:rsidRDefault="003F1E3E" w:rsidP="000A5AB7">
            <w:pPr>
              <w:jc w:val="both"/>
              <w:rPr>
                <w:rFonts w:cs="Arial"/>
                <w:color w:val="000000"/>
                <w:sz w:val="18"/>
                <w:szCs w:val="18"/>
              </w:rPr>
            </w:pPr>
            <w:r w:rsidRPr="00D21CED">
              <w:rPr>
                <w:rFonts w:cs="Arial"/>
                <w:color w:val="000000"/>
                <w:sz w:val="18"/>
                <w:szCs w:val="18"/>
              </w:rPr>
              <w:t>88.2%</w:t>
            </w:r>
          </w:p>
        </w:tc>
        <w:tc>
          <w:tcPr>
            <w:tcW w:w="502" w:type="pct"/>
            <w:tcBorders>
              <w:top w:val="single" w:sz="4" w:space="0" w:color="auto"/>
              <w:left w:val="single" w:sz="4" w:space="0" w:color="auto"/>
              <w:bottom w:val="single" w:sz="8" w:space="0" w:color="auto"/>
              <w:right w:val="single" w:sz="4" w:space="0" w:color="auto"/>
            </w:tcBorders>
            <w:shd w:val="clear" w:color="auto" w:fill="C5E0B3" w:themeFill="accent6" w:themeFillTint="66"/>
            <w:vAlign w:val="center"/>
          </w:tcPr>
          <w:p w14:paraId="7239559C" w14:textId="77777777" w:rsidR="007E5A4C" w:rsidRDefault="003F1E3E" w:rsidP="000A5AB7">
            <w:pPr>
              <w:jc w:val="both"/>
              <w:rPr>
                <w:rFonts w:cs="Arial"/>
                <w:color w:val="000000"/>
                <w:sz w:val="18"/>
                <w:szCs w:val="18"/>
              </w:rPr>
            </w:pPr>
            <w:r>
              <w:rPr>
                <w:rFonts w:cs="Arial"/>
                <w:color w:val="000000"/>
                <w:sz w:val="18"/>
                <w:szCs w:val="18"/>
              </w:rPr>
              <w:t>86.3%</w:t>
            </w:r>
          </w:p>
          <w:p w14:paraId="1C964819" w14:textId="77777777" w:rsidR="002C33E0" w:rsidRPr="003F1E3E" w:rsidRDefault="002C33E0" w:rsidP="000A5AB7">
            <w:pPr>
              <w:jc w:val="both"/>
              <w:rPr>
                <w:rFonts w:cs="Arial"/>
                <w:color w:val="FF0000"/>
                <w:sz w:val="18"/>
              </w:rPr>
            </w:pPr>
            <w:r>
              <w:rPr>
                <w:rFonts w:cs="Arial"/>
                <w:color w:val="000000"/>
                <w:sz w:val="18"/>
              </w:rPr>
              <w:t xml:space="preserve">(3m </w:t>
            </w:r>
            <w:proofErr w:type="spellStart"/>
            <w:r>
              <w:rPr>
                <w:rFonts w:cs="Arial"/>
                <w:color w:val="000000"/>
                <w:sz w:val="18"/>
              </w:rPr>
              <w:t>ave.</w:t>
            </w:r>
            <w:proofErr w:type="spellEnd"/>
            <w:r>
              <w:rPr>
                <w:rFonts w:cs="Arial"/>
                <w:color w:val="000000"/>
                <w:sz w:val="18"/>
              </w:rPr>
              <w:t>)</w:t>
            </w:r>
          </w:p>
        </w:tc>
        <w:tc>
          <w:tcPr>
            <w:tcW w:w="495"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4C589576" w14:textId="77777777" w:rsidR="007E5A4C" w:rsidRPr="006076E8" w:rsidRDefault="007E5A4C" w:rsidP="000A5AB7">
            <w:pPr>
              <w:jc w:val="both"/>
              <w:rPr>
                <w:rFonts w:cs="Arial"/>
                <w:sz w:val="18"/>
                <w:szCs w:val="18"/>
              </w:rPr>
            </w:pPr>
            <w:r w:rsidRPr="006076E8">
              <w:rPr>
                <w:rFonts w:cs="Arial"/>
                <w:sz w:val="18"/>
              </w:rPr>
              <w:t>82.9%</w:t>
            </w:r>
          </w:p>
        </w:tc>
      </w:tr>
      <w:tr w:rsidR="007E5A4C" w:rsidRPr="00D21CED" w14:paraId="443FAAAE" w14:textId="77777777" w:rsidTr="007E5A4C">
        <w:trPr>
          <w:trHeight w:val="6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tcPr>
          <w:p w14:paraId="027E5997" w14:textId="77777777" w:rsidR="007E5A4C" w:rsidRPr="00D21CED" w:rsidRDefault="007E5A4C" w:rsidP="000A5AB7">
            <w:pPr>
              <w:jc w:val="both"/>
              <w:rPr>
                <w:rFonts w:cs="Arial"/>
                <w:b/>
                <w:bCs/>
                <w:color w:val="000000"/>
                <w:sz w:val="18"/>
                <w:szCs w:val="18"/>
              </w:rPr>
            </w:pPr>
            <w:r w:rsidRPr="00D21CED">
              <w:rPr>
                <w:rFonts w:cs="Arial"/>
                <w:b/>
                <w:bCs/>
                <w:color w:val="000000"/>
                <w:sz w:val="18"/>
                <w:szCs w:val="18"/>
              </w:rPr>
              <w:t>Timeliness of assessment and support</w:t>
            </w:r>
          </w:p>
        </w:tc>
      </w:tr>
      <w:tr w:rsidR="007E5A4C" w:rsidRPr="00D21CED" w14:paraId="0DB28B69" w14:textId="77777777" w:rsidTr="003F1E3E">
        <w:trPr>
          <w:trHeight w:val="60"/>
        </w:trPr>
        <w:tc>
          <w:tcPr>
            <w:tcW w:w="1640" w:type="pct"/>
            <w:tcBorders>
              <w:top w:val="nil"/>
              <w:left w:val="single" w:sz="8" w:space="0" w:color="auto"/>
              <w:bottom w:val="single" w:sz="4" w:space="0" w:color="auto"/>
              <w:right w:val="single" w:sz="8" w:space="0" w:color="auto"/>
            </w:tcBorders>
            <w:shd w:val="clear" w:color="auto" w:fill="auto"/>
            <w:vAlign w:val="center"/>
            <w:hideMark/>
          </w:tcPr>
          <w:p w14:paraId="5983B139" w14:textId="77777777" w:rsidR="007E5A4C" w:rsidRPr="00D21CED" w:rsidRDefault="007E5A4C" w:rsidP="000A5AB7">
            <w:pPr>
              <w:jc w:val="both"/>
              <w:rPr>
                <w:rFonts w:cs="Arial"/>
                <w:color w:val="000000"/>
                <w:sz w:val="18"/>
                <w:szCs w:val="18"/>
              </w:rPr>
            </w:pPr>
            <w:r w:rsidRPr="00D21CED">
              <w:rPr>
                <w:rFonts w:cs="Arial"/>
                <w:color w:val="000000"/>
                <w:sz w:val="18"/>
                <w:szCs w:val="18"/>
              </w:rPr>
              <w:t xml:space="preserve">Assessments completed within 7 days </w:t>
            </w:r>
            <w:r w:rsidR="003F1E3E">
              <w:rPr>
                <w:rFonts w:cs="Arial"/>
                <w:color w:val="000000"/>
                <w:sz w:val="18"/>
                <w:szCs w:val="18"/>
              </w:rPr>
              <w:t>during the period</w:t>
            </w:r>
          </w:p>
        </w:tc>
        <w:tc>
          <w:tcPr>
            <w:tcW w:w="359" w:type="pct"/>
            <w:tcBorders>
              <w:top w:val="nil"/>
              <w:left w:val="nil"/>
              <w:bottom w:val="single" w:sz="4" w:space="0" w:color="auto"/>
              <w:right w:val="single" w:sz="8" w:space="0" w:color="auto"/>
            </w:tcBorders>
            <w:shd w:val="clear" w:color="auto" w:fill="auto"/>
            <w:vAlign w:val="center"/>
            <w:hideMark/>
          </w:tcPr>
          <w:p w14:paraId="2C32CAA6" w14:textId="77777777" w:rsidR="007E5A4C" w:rsidRPr="00D21CED" w:rsidRDefault="007E5A4C" w:rsidP="000A5AB7">
            <w:pPr>
              <w:jc w:val="both"/>
              <w:rPr>
                <w:rFonts w:cs="Arial"/>
                <w:color w:val="000000"/>
                <w:sz w:val="18"/>
                <w:szCs w:val="18"/>
              </w:rPr>
            </w:pPr>
            <w:r w:rsidRPr="00D21CED">
              <w:rPr>
                <w:rFonts w:cs="Arial"/>
                <w:color w:val="000000"/>
                <w:sz w:val="18"/>
                <w:szCs w:val="18"/>
              </w:rPr>
              <w:t>H</w:t>
            </w:r>
          </w:p>
        </w:tc>
        <w:tc>
          <w:tcPr>
            <w:tcW w:w="502" w:type="pct"/>
            <w:tcBorders>
              <w:top w:val="nil"/>
              <w:left w:val="nil"/>
              <w:bottom w:val="single" w:sz="4" w:space="0" w:color="auto"/>
              <w:right w:val="single" w:sz="8" w:space="0" w:color="auto"/>
            </w:tcBorders>
            <w:shd w:val="clear" w:color="auto" w:fill="auto"/>
            <w:vAlign w:val="center"/>
            <w:hideMark/>
          </w:tcPr>
          <w:p w14:paraId="33950E35" w14:textId="77777777" w:rsidR="007E5A4C" w:rsidRPr="00D21CED" w:rsidRDefault="007E5A4C" w:rsidP="000A5AB7">
            <w:pPr>
              <w:jc w:val="both"/>
              <w:rPr>
                <w:rFonts w:cs="Arial"/>
                <w:color w:val="000000"/>
                <w:sz w:val="18"/>
                <w:szCs w:val="18"/>
              </w:rPr>
            </w:pPr>
            <w:r>
              <w:rPr>
                <w:rFonts w:cs="Arial"/>
                <w:color w:val="000000"/>
                <w:sz w:val="18"/>
                <w:szCs w:val="18"/>
              </w:rPr>
              <w:t>82.6</w:t>
            </w:r>
            <w:r w:rsidRPr="00D21CED">
              <w:rPr>
                <w:rFonts w:cs="Arial"/>
                <w:color w:val="000000"/>
                <w:sz w:val="18"/>
                <w:szCs w:val="18"/>
              </w:rPr>
              <w:t>%</w:t>
            </w:r>
          </w:p>
        </w:tc>
        <w:tc>
          <w:tcPr>
            <w:tcW w:w="501" w:type="pct"/>
            <w:tcBorders>
              <w:top w:val="nil"/>
              <w:left w:val="nil"/>
              <w:bottom w:val="single" w:sz="4" w:space="0" w:color="auto"/>
              <w:right w:val="single" w:sz="8" w:space="0" w:color="auto"/>
            </w:tcBorders>
            <w:shd w:val="clear" w:color="auto" w:fill="auto"/>
            <w:vAlign w:val="center"/>
            <w:hideMark/>
          </w:tcPr>
          <w:p w14:paraId="784EE12A" w14:textId="77777777" w:rsidR="007E5A4C" w:rsidRPr="00D21CED" w:rsidRDefault="007E5A4C" w:rsidP="000A5AB7">
            <w:pPr>
              <w:jc w:val="both"/>
              <w:rPr>
                <w:rFonts w:cs="Arial"/>
                <w:color w:val="000000"/>
                <w:sz w:val="18"/>
                <w:szCs w:val="18"/>
              </w:rPr>
            </w:pPr>
            <w:r>
              <w:rPr>
                <w:rFonts w:cs="Arial"/>
                <w:color w:val="000000"/>
                <w:sz w:val="18"/>
                <w:szCs w:val="18"/>
              </w:rPr>
              <w:t>85.1</w:t>
            </w:r>
            <w:r w:rsidRPr="00D21CED">
              <w:rPr>
                <w:rFonts w:cs="Arial"/>
                <w:color w:val="000000"/>
                <w:sz w:val="18"/>
                <w:szCs w:val="18"/>
              </w:rPr>
              <w:t>%</w:t>
            </w:r>
          </w:p>
        </w:tc>
        <w:tc>
          <w:tcPr>
            <w:tcW w:w="501" w:type="pct"/>
            <w:tcBorders>
              <w:top w:val="nil"/>
              <w:left w:val="nil"/>
              <w:bottom w:val="single" w:sz="4" w:space="0" w:color="auto"/>
              <w:right w:val="single" w:sz="8" w:space="0" w:color="auto"/>
            </w:tcBorders>
            <w:shd w:val="clear" w:color="auto" w:fill="auto"/>
            <w:vAlign w:val="center"/>
            <w:hideMark/>
          </w:tcPr>
          <w:p w14:paraId="05210744" w14:textId="77777777" w:rsidR="007E5A4C" w:rsidRPr="00D21CED" w:rsidRDefault="007E5A4C" w:rsidP="000A5AB7">
            <w:pPr>
              <w:jc w:val="both"/>
              <w:rPr>
                <w:rFonts w:cs="Arial"/>
                <w:color w:val="000000"/>
                <w:sz w:val="18"/>
                <w:szCs w:val="18"/>
              </w:rPr>
            </w:pPr>
            <w:r w:rsidRPr="00D21CED">
              <w:rPr>
                <w:rFonts w:cs="Arial"/>
                <w:color w:val="000000"/>
                <w:sz w:val="18"/>
                <w:szCs w:val="18"/>
              </w:rPr>
              <w:t xml:space="preserve">87.6% </w:t>
            </w:r>
          </w:p>
        </w:tc>
        <w:tc>
          <w:tcPr>
            <w:tcW w:w="501" w:type="pct"/>
            <w:tcBorders>
              <w:top w:val="nil"/>
              <w:left w:val="nil"/>
              <w:bottom w:val="single" w:sz="4" w:space="0" w:color="auto"/>
              <w:right w:val="single" w:sz="4" w:space="0" w:color="auto"/>
            </w:tcBorders>
            <w:shd w:val="clear" w:color="auto" w:fill="auto"/>
            <w:vAlign w:val="center"/>
          </w:tcPr>
          <w:p w14:paraId="5F206AAE" w14:textId="77777777" w:rsidR="007E5A4C" w:rsidRPr="000379A6" w:rsidRDefault="003F1E3E" w:rsidP="000A5AB7">
            <w:pPr>
              <w:jc w:val="both"/>
              <w:rPr>
                <w:rFonts w:cs="Arial"/>
                <w:color w:val="000000"/>
                <w:sz w:val="18"/>
                <w:szCs w:val="18"/>
              </w:rPr>
            </w:pPr>
            <w:r w:rsidRPr="00D21CED">
              <w:rPr>
                <w:rFonts w:cs="Arial"/>
                <w:color w:val="000000"/>
                <w:sz w:val="18"/>
                <w:szCs w:val="18"/>
              </w:rPr>
              <w:t>8</w:t>
            </w:r>
            <w:r>
              <w:rPr>
                <w:rFonts w:cs="Arial"/>
                <w:color w:val="000000"/>
                <w:sz w:val="18"/>
                <w:szCs w:val="18"/>
              </w:rPr>
              <w:t>7.1</w:t>
            </w:r>
            <w:r w:rsidRPr="00D21CED">
              <w:rPr>
                <w:rFonts w:cs="Arial"/>
                <w:color w:val="000000"/>
                <w:sz w:val="18"/>
                <w:szCs w:val="18"/>
              </w:rPr>
              <w:t>%</w:t>
            </w:r>
          </w:p>
        </w:tc>
        <w:tc>
          <w:tcPr>
            <w:tcW w:w="502" w:type="pct"/>
            <w:tcBorders>
              <w:top w:val="nil"/>
              <w:left w:val="single" w:sz="4" w:space="0" w:color="auto"/>
              <w:bottom w:val="single" w:sz="4" w:space="0" w:color="auto"/>
              <w:right w:val="single" w:sz="4" w:space="0" w:color="auto"/>
            </w:tcBorders>
            <w:shd w:val="clear" w:color="auto" w:fill="C5E0B3" w:themeFill="accent6" w:themeFillTint="66"/>
            <w:vAlign w:val="center"/>
          </w:tcPr>
          <w:p w14:paraId="79A99124" w14:textId="77777777" w:rsidR="007E5A4C" w:rsidRPr="002262D4" w:rsidRDefault="003F1E3E" w:rsidP="000A5AB7">
            <w:pPr>
              <w:jc w:val="both"/>
              <w:rPr>
                <w:rFonts w:cs="Arial"/>
                <w:color w:val="000000"/>
                <w:sz w:val="18"/>
                <w:szCs w:val="18"/>
              </w:rPr>
            </w:pPr>
            <w:r w:rsidRPr="00D21CED">
              <w:rPr>
                <w:rFonts w:cs="Arial"/>
                <w:color w:val="000000"/>
                <w:sz w:val="18"/>
                <w:szCs w:val="18"/>
              </w:rPr>
              <w:t>8</w:t>
            </w:r>
            <w:r>
              <w:rPr>
                <w:rFonts w:cs="Arial"/>
                <w:color w:val="000000"/>
                <w:sz w:val="18"/>
                <w:szCs w:val="18"/>
              </w:rPr>
              <w:t>6.6</w:t>
            </w:r>
            <w:r w:rsidRPr="00D21CED">
              <w:rPr>
                <w:rFonts w:cs="Arial"/>
                <w:color w:val="000000"/>
                <w:sz w:val="18"/>
                <w:szCs w:val="18"/>
              </w:rPr>
              <w:t>%</w:t>
            </w:r>
            <w:r w:rsidR="002C33E0">
              <w:rPr>
                <w:rFonts w:cs="Arial"/>
                <w:color w:val="000000"/>
                <w:sz w:val="18"/>
                <w:szCs w:val="18"/>
              </w:rPr>
              <w:t xml:space="preserve"> </w:t>
            </w:r>
            <w:r w:rsidR="002C33E0">
              <w:rPr>
                <w:rFonts w:cs="Arial"/>
                <w:color w:val="000000"/>
                <w:sz w:val="18"/>
              </w:rPr>
              <w:t xml:space="preserve">(3m </w:t>
            </w:r>
            <w:proofErr w:type="spellStart"/>
            <w:r w:rsidR="002C33E0">
              <w:rPr>
                <w:rFonts w:cs="Arial"/>
                <w:color w:val="000000"/>
                <w:sz w:val="18"/>
              </w:rPr>
              <w:t>ave.</w:t>
            </w:r>
            <w:proofErr w:type="spellEnd"/>
            <w:r w:rsidR="002C33E0">
              <w:rPr>
                <w:rFonts w:cs="Arial"/>
                <w:color w:val="000000"/>
                <w:sz w:val="18"/>
              </w:rPr>
              <w:t>)</w:t>
            </w:r>
          </w:p>
        </w:tc>
        <w:tc>
          <w:tcPr>
            <w:tcW w:w="495" w:type="pct"/>
            <w:tcBorders>
              <w:top w:val="nil"/>
              <w:left w:val="single" w:sz="4" w:space="0" w:color="auto"/>
              <w:bottom w:val="single" w:sz="4" w:space="0" w:color="auto"/>
              <w:right w:val="single" w:sz="8" w:space="0" w:color="auto"/>
            </w:tcBorders>
            <w:shd w:val="clear" w:color="auto" w:fill="auto"/>
            <w:vAlign w:val="center"/>
            <w:hideMark/>
          </w:tcPr>
          <w:p w14:paraId="7931FC8C" w14:textId="77777777" w:rsidR="007E5A4C" w:rsidRPr="006076E8" w:rsidRDefault="007E5A4C" w:rsidP="000A5AB7">
            <w:pPr>
              <w:jc w:val="both"/>
              <w:rPr>
                <w:rFonts w:cs="Arial"/>
                <w:sz w:val="18"/>
                <w:szCs w:val="18"/>
              </w:rPr>
            </w:pPr>
            <w:r w:rsidRPr="006076E8">
              <w:rPr>
                <w:rFonts w:cs="Arial"/>
                <w:sz w:val="18"/>
                <w:szCs w:val="18"/>
              </w:rPr>
              <w:t>-</w:t>
            </w:r>
          </w:p>
        </w:tc>
      </w:tr>
      <w:tr w:rsidR="007E5A4C" w:rsidRPr="00D21CED" w14:paraId="166FE797" w14:textId="77777777" w:rsidTr="003F1E3E">
        <w:trPr>
          <w:trHeight w:val="207"/>
        </w:trPr>
        <w:tc>
          <w:tcPr>
            <w:tcW w:w="1640"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59AFB10" w14:textId="77777777" w:rsidR="007E5A4C" w:rsidRPr="00D21CED" w:rsidRDefault="007E5A4C" w:rsidP="000A5AB7">
            <w:pPr>
              <w:jc w:val="both"/>
              <w:rPr>
                <w:rFonts w:cs="Arial"/>
                <w:color w:val="000000"/>
                <w:sz w:val="18"/>
                <w:szCs w:val="18"/>
              </w:rPr>
            </w:pPr>
            <w:r w:rsidRPr="00D21CED">
              <w:rPr>
                <w:rFonts w:cs="Arial"/>
                <w:color w:val="000000"/>
                <w:sz w:val="18"/>
                <w:szCs w:val="18"/>
              </w:rPr>
              <w:t>Asses</w:t>
            </w:r>
            <w:r>
              <w:rPr>
                <w:rFonts w:cs="Arial"/>
                <w:color w:val="000000"/>
                <w:sz w:val="18"/>
                <w:szCs w:val="18"/>
              </w:rPr>
              <w:t>sments completed within 28 days</w:t>
            </w:r>
            <w:r w:rsidRPr="00D21CED">
              <w:rPr>
                <w:rFonts w:cs="Arial"/>
                <w:color w:val="000000"/>
                <w:sz w:val="18"/>
                <w:szCs w:val="18"/>
              </w:rPr>
              <w:t xml:space="preserve"> </w:t>
            </w:r>
            <w:r w:rsidR="003F1E3E">
              <w:rPr>
                <w:rFonts w:cs="Arial"/>
                <w:color w:val="000000"/>
                <w:sz w:val="18"/>
                <w:szCs w:val="18"/>
              </w:rPr>
              <w:t>during the period</w:t>
            </w:r>
          </w:p>
        </w:tc>
        <w:tc>
          <w:tcPr>
            <w:tcW w:w="359" w:type="pct"/>
            <w:tcBorders>
              <w:top w:val="single" w:sz="4" w:space="0" w:color="auto"/>
              <w:left w:val="nil"/>
              <w:bottom w:val="single" w:sz="4" w:space="0" w:color="auto"/>
              <w:right w:val="single" w:sz="8" w:space="0" w:color="auto"/>
            </w:tcBorders>
            <w:shd w:val="clear" w:color="auto" w:fill="auto"/>
            <w:vAlign w:val="center"/>
            <w:hideMark/>
          </w:tcPr>
          <w:p w14:paraId="759E45F6" w14:textId="77777777" w:rsidR="007E5A4C" w:rsidRPr="00D21CED" w:rsidRDefault="007E5A4C" w:rsidP="000A5AB7">
            <w:pPr>
              <w:jc w:val="both"/>
              <w:rPr>
                <w:rFonts w:cs="Arial"/>
                <w:color w:val="000000"/>
                <w:sz w:val="18"/>
                <w:szCs w:val="18"/>
              </w:rPr>
            </w:pPr>
            <w:r w:rsidRPr="00D21CED">
              <w:rPr>
                <w:rFonts w:cs="Arial"/>
                <w:color w:val="000000"/>
                <w:sz w:val="18"/>
                <w:szCs w:val="18"/>
              </w:rPr>
              <w:t>H</w:t>
            </w:r>
          </w:p>
        </w:tc>
        <w:tc>
          <w:tcPr>
            <w:tcW w:w="502" w:type="pct"/>
            <w:tcBorders>
              <w:top w:val="single" w:sz="4" w:space="0" w:color="auto"/>
              <w:left w:val="nil"/>
              <w:bottom w:val="single" w:sz="4" w:space="0" w:color="auto"/>
              <w:right w:val="single" w:sz="8" w:space="0" w:color="auto"/>
            </w:tcBorders>
            <w:shd w:val="clear" w:color="auto" w:fill="auto"/>
            <w:vAlign w:val="center"/>
            <w:hideMark/>
          </w:tcPr>
          <w:p w14:paraId="53EEF490" w14:textId="77777777" w:rsidR="007E5A4C" w:rsidRPr="00D21CED" w:rsidRDefault="007E5A4C" w:rsidP="000A5AB7">
            <w:pPr>
              <w:jc w:val="both"/>
              <w:rPr>
                <w:rFonts w:cs="Arial"/>
                <w:color w:val="000000"/>
                <w:sz w:val="18"/>
                <w:szCs w:val="18"/>
              </w:rPr>
            </w:pPr>
            <w:r>
              <w:rPr>
                <w:rFonts w:cs="Arial"/>
                <w:color w:val="000000"/>
                <w:sz w:val="18"/>
                <w:szCs w:val="18"/>
              </w:rPr>
              <w:t>94.6</w:t>
            </w:r>
            <w:r w:rsidRPr="00D21CED">
              <w:rPr>
                <w:rFonts w:cs="Arial"/>
                <w:color w:val="000000"/>
                <w:sz w:val="18"/>
                <w:szCs w:val="18"/>
              </w:rPr>
              <w:t>%</w:t>
            </w:r>
          </w:p>
        </w:tc>
        <w:tc>
          <w:tcPr>
            <w:tcW w:w="501" w:type="pct"/>
            <w:tcBorders>
              <w:top w:val="single" w:sz="4" w:space="0" w:color="auto"/>
              <w:left w:val="nil"/>
              <w:bottom w:val="single" w:sz="4" w:space="0" w:color="auto"/>
              <w:right w:val="single" w:sz="8" w:space="0" w:color="auto"/>
            </w:tcBorders>
            <w:shd w:val="clear" w:color="auto" w:fill="auto"/>
            <w:vAlign w:val="center"/>
            <w:hideMark/>
          </w:tcPr>
          <w:p w14:paraId="11291E71" w14:textId="77777777" w:rsidR="007E5A4C" w:rsidRPr="00D21CED" w:rsidRDefault="007E5A4C" w:rsidP="000A5AB7">
            <w:pPr>
              <w:jc w:val="both"/>
              <w:rPr>
                <w:rFonts w:cs="Arial"/>
                <w:color w:val="000000"/>
                <w:sz w:val="18"/>
                <w:szCs w:val="18"/>
              </w:rPr>
            </w:pPr>
            <w:r>
              <w:rPr>
                <w:rFonts w:cs="Arial"/>
                <w:color w:val="000000"/>
                <w:sz w:val="18"/>
                <w:szCs w:val="18"/>
              </w:rPr>
              <w:t>95.6</w:t>
            </w:r>
            <w:r w:rsidRPr="00D21CED">
              <w:rPr>
                <w:rFonts w:cs="Arial"/>
                <w:color w:val="000000"/>
                <w:sz w:val="18"/>
                <w:szCs w:val="18"/>
              </w:rPr>
              <w:t>%</w:t>
            </w:r>
          </w:p>
        </w:tc>
        <w:tc>
          <w:tcPr>
            <w:tcW w:w="501" w:type="pct"/>
            <w:tcBorders>
              <w:top w:val="single" w:sz="4" w:space="0" w:color="auto"/>
              <w:left w:val="nil"/>
              <w:bottom w:val="single" w:sz="4" w:space="0" w:color="auto"/>
              <w:right w:val="single" w:sz="8" w:space="0" w:color="auto"/>
            </w:tcBorders>
            <w:shd w:val="clear" w:color="auto" w:fill="auto"/>
            <w:vAlign w:val="center"/>
            <w:hideMark/>
          </w:tcPr>
          <w:p w14:paraId="71819EA1" w14:textId="77777777" w:rsidR="007E5A4C" w:rsidRPr="00D21CED" w:rsidRDefault="007E5A4C" w:rsidP="000A5AB7">
            <w:pPr>
              <w:jc w:val="both"/>
              <w:rPr>
                <w:rFonts w:cs="Arial"/>
                <w:color w:val="000000"/>
                <w:sz w:val="18"/>
                <w:szCs w:val="18"/>
              </w:rPr>
            </w:pPr>
            <w:r w:rsidRPr="00D21CED">
              <w:rPr>
                <w:rFonts w:cs="Arial"/>
                <w:color w:val="000000"/>
                <w:sz w:val="18"/>
                <w:szCs w:val="18"/>
              </w:rPr>
              <w:t xml:space="preserve">96.1% </w:t>
            </w:r>
          </w:p>
        </w:tc>
        <w:tc>
          <w:tcPr>
            <w:tcW w:w="501" w:type="pct"/>
            <w:tcBorders>
              <w:top w:val="single" w:sz="4" w:space="0" w:color="auto"/>
              <w:left w:val="nil"/>
              <w:bottom w:val="single" w:sz="4" w:space="0" w:color="auto"/>
              <w:right w:val="single" w:sz="4" w:space="0" w:color="auto"/>
            </w:tcBorders>
            <w:shd w:val="clear" w:color="auto" w:fill="auto"/>
            <w:vAlign w:val="center"/>
          </w:tcPr>
          <w:p w14:paraId="14AF6E91" w14:textId="77777777" w:rsidR="007E5A4C" w:rsidRPr="000379A6" w:rsidRDefault="003F1E3E" w:rsidP="000A5AB7">
            <w:pPr>
              <w:jc w:val="both"/>
              <w:rPr>
                <w:rFonts w:cs="Arial"/>
                <w:color w:val="000000"/>
                <w:sz w:val="18"/>
                <w:szCs w:val="18"/>
              </w:rPr>
            </w:pPr>
            <w:r>
              <w:rPr>
                <w:rFonts w:cs="Arial"/>
                <w:color w:val="000000"/>
                <w:sz w:val="18"/>
                <w:szCs w:val="18"/>
              </w:rPr>
              <w:t>96.3</w:t>
            </w:r>
            <w:r w:rsidRPr="00D21CED">
              <w:rPr>
                <w:rFonts w:cs="Arial"/>
                <w:color w:val="000000"/>
                <w:sz w:val="18"/>
                <w:szCs w:val="18"/>
              </w:rPr>
              <w:t>%</w:t>
            </w:r>
          </w:p>
        </w:tc>
        <w:tc>
          <w:tcPr>
            <w:tcW w:w="50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316FB1" w14:textId="77777777" w:rsidR="007E5A4C" w:rsidRDefault="003F1E3E" w:rsidP="000A5AB7">
            <w:pPr>
              <w:jc w:val="both"/>
              <w:rPr>
                <w:rFonts w:cs="Arial"/>
                <w:color w:val="000000"/>
                <w:sz w:val="18"/>
                <w:szCs w:val="18"/>
              </w:rPr>
            </w:pPr>
            <w:r>
              <w:rPr>
                <w:rFonts w:cs="Arial"/>
                <w:color w:val="000000"/>
                <w:sz w:val="18"/>
                <w:szCs w:val="18"/>
              </w:rPr>
              <w:t>96.5</w:t>
            </w:r>
            <w:r w:rsidRPr="00D21CED">
              <w:rPr>
                <w:rFonts w:cs="Arial"/>
                <w:color w:val="000000"/>
                <w:sz w:val="18"/>
                <w:szCs w:val="18"/>
              </w:rPr>
              <w:t>%</w:t>
            </w:r>
          </w:p>
          <w:p w14:paraId="6896A9EC" w14:textId="77777777" w:rsidR="002C33E0" w:rsidRPr="002262D4" w:rsidRDefault="002C33E0" w:rsidP="000A5AB7">
            <w:pPr>
              <w:jc w:val="both"/>
              <w:rPr>
                <w:rFonts w:cs="Arial"/>
                <w:color w:val="000000"/>
                <w:sz w:val="18"/>
                <w:szCs w:val="18"/>
              </w:rPr>
            </w:pPr>
            <w:r>
              <w:rPr>
                <w:rFonts w:cs="Arial"/>
                <w:color w:val="000000"/>
                <w:sz w:val="18"/>
              </w:rPr>
              <w:t xml:space="preserve">(3m </w:t>
            </w:r>
            <w:proofErr w:type="spellStart"/>
            <w:r>
              <w:rPr>
                <w:rFonts w:cs="Arial"/>
                <w:color w:val="000000"/>
                <w:sz w:val="18"/>
              </w:rPr>
              <w:t>ave.</w:t>
            </w:r>
            <w:proofErr w:type="spellEnd"/>
            <w:r>
              <w:rPr>
                <w:rFonts w:cs="Arial"/>
                <w:color w:val="000000"/>
                <w:sz w:val="18"/>
              </w:rPr>
              <w:t>)</w:t>
            </w:r>
          </w:p>
        </w:tc>
        <w:tc>
          <w:tcPr>
            <w:tcW w:w="49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701ADA7" w14:textId="77777777" w:rsidR="007E5A4C" w:rsidRPr="006076E8" w:rsidRDefault="007E5A4C" w:rsidP="000A5AB7">
            <w:pPr>
              <w:jc w:val="both"/>
              <w:rPr>
                <w:rFonts w:cs="Arial"/>
                <w:sz w:val="18"/>
                <w:szCs w:val="18"/>
              </w:rPr>
            </w:pPr>
            <w:r w:rsidRPr="006076E8">
              <w:rPr>
                <w:rFonts w:cs="Arial"/>
                <w:sz w:val="18"/>
                <w:szCs w:val="18"/>
              </w:rPr>
              <w:t>-</w:t>
            </w:r>
          </w:p>
        </w:tc>
      </w:tr>
      <w:tr w:rsidR="007E5A4C" w:rsidRPr="00D21CED" w14:paraId="5DF56D54" w14:textId="77777777" w:rsidTr="00C55A31">
        <w:trPr>
          <w:trHeight w:val="60"/>
        </w:trPr>
        <w:tc>
          <w:tcPr>
            <w:tcW w:w="164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5E145283" w14:textId="7186CA44" w:rsidR="007E5A4C" w:rsidRPr="00D21CED" w:rsidRDefault="007E5A4C" w:rsidP="000A5AB7">
            <w:pPr>
              <w:jc w:val="both"/>
              <w:rPr>
                <w:rFonts w:cs="Arial"/>
                <w:color w:val="000000"/>
                <w:sz w:val="18"/>
                <w:szCs w:val="18"/>
              </w:rPr>
            </w:pPr>
            <w:r>
              <w:rPr>
                <w:rFonts w:cs="Arial"/>
                <w:color w:val="000000"/>
                <w:sz w:val="18"/>
                <w:szCs w:val="18"/>
              </w:rPr>
              <w:t>Delayed t</w:t>
            </w:r>
            <w:r w:rsidRPr="00D21CED">
              <w:rPr>
                <w:rFonts w:cs="Arial"/>
                <w:color w:val="000000"/>
                <w:sz w:val="18"/>
                <w:szCs w:val="18"/>
              </w:rPr>
              <w:t>ransfers of care from hospital (</w:t>
            </w:r>
            <w:r w:rsidR="00E51B28">
              <w:rPr>
                <w:rFonts w:cs="Arial"/>
                <w:color w:val="000000"/>
                <w:sz w:val="18"/>
                <w:szCs w:val="18"/>
              </w:rPr>
              <w:t>DToC</w:t>
            </w:r>
            <w:r w:rsidRPr="00D21CED">
              <w:rPr>
                <w:rFonts w:cs="Arial"/>
                <w:color w:val="000000"/>
                <w:sz w:val="18"/>
                <w:szCs w:val="18"/>
              </w:rPr>
              <w:t>) – total dela</w:t>
            </w:r>
            <w:r w:rsidR="003F1E3E">
              <w:rPr>
                <w:rFonts w:cs="Arial"/>
                <w:color w:val="000000"/>
                <w:sz w:val="18"/>
                <w:szCs w:val="18"/>
              </w:rPr>
              <w:t xml:space="preserve">yed days due to social care in </w:t>
            </w:r>
            <w:r w:rsidRPr="00D21CED">
              <w:rPr>
                <w:rFonts w:cs="Arial"/>
                <w:color w:val="000000"/>
                <w:sz w:val="18"/>
                <w:szCs w:val="18"/>
              </w:rPr>
              <w:t xml:space="preserve">month </w:t>
            </w:r>
            <w:r>
              <w:rPr>
                <w:rFonts w:cs="Arial"/>
                <w:color w:val="000000"/>
                <w:sz w:val="18"/>
                <w:szCs w:val="18"/>
              </w:rPr>
              <w:t>as detailed</w:t>
            </w:r>
            <w:r w:rsidR="00407851">
              <w:rPr>
                <w:rFonts w:cs="Arial"/>
                <w:color w:val="000000"/>
                <w:sz w:val="18"/>
                <w:szCs w:val="18"/>
              </w:rPr>
              <w:t xml:space="preserve"> each period</w:t>
            </w:r>
          </w:p>
        </w:tc>
        <w:tc>
          <w:tcPr>
            <w:tcW w:w="359" w:type="pct"/>
            <w:tcBorders>
              <w:top w:val="single" w:sz="4" w:space="0" w:color="auto"/>
              <w:left w:val="nil"/>
              <w:bottom w:val="single" w:sz="8" w:space="0" w:color="auto"/>
              <w:right w:val="single" w:sz="8" w:space="0" w:color="auto"/>
            </w:tcBorders>
            <w:shd w:val="clear" w:color="auto" w:fill="auto"/>
            <w:vAlign w:val="center"/>
            <w:hideMark/>
          </w:tcPr>
          <w:p w14:paraId="4CAE5071" w14:textId="77777777" w:rsidR="007E5A4C" w:rsidRPr="00D21CED" w:rsidRDefault="007E5A4C" w:rsidP="000A5AB7">
            <w:pPr>
              <w:jc w:val="both"/>
              <w:rPr>
                <w:rFonts w:cs="Arial"/>
                <w:color w:val="000000"/>
                <w:sz w:val="18"/>
                <w:szCs w:val="18"/>
              </w:rPr>
            </w:pPr>
            <w:r w:rsidRPr="00D21CED">
              <w:rPr>
                <w:rFonts w:cs="Arial"/>
                <w:color w:val="000000"/>
                <w:sz w:val="18"/>
                <w:szCs w:val="18"/>
              </w:rPr>
              <w:t>L</w:t>
            </w:r>
          </w:p>
        </w:tc>
        <w:tc>
          <w:tcPr>
            <w:tcW w:w="502" w:type="pct"/>
            <w:tcBorders>
              <w:top w:val="single" w:sz="4" w:space="0" w:color="auto"/>
              <w:left w:val="nil"/>
              <w:bottom w:val="single" w:sz="8" w:space="0" w:color="auto"/>
              <w:right w:val="single" w:sz="8" w:space="0" w:color="auto"/>
            </w:tcBorders>
            <w:shd w:val="clear" w:color="auto" w:fill="auto"/>
            <w:vAlign w:val="center"/>
            <w:hideMark/>
          </w:tcPr>
          <w:p w14:paraId="5650EB9F" w14:textId="77777777" w:rsidR="007E5A4C" w:rsidRPr="00D21CED" w:rsidRDefault="007E5A4C" w:rsidP="000A5AB7">
            <w:pPr>
              <w:jc w:val="both"/>
              <w:rPr>
                <w:rFonts w:cs="Arial"/>
                <w:color w:val="000000"/>
                <w:sz w:val="18"/>
                <w:szCs w:val="18"/>
              </w:rPr>
            </w:pPr>
            <w:r w:rsidRPr="00D21CED">
              <w:rPr>
                <w:rFonts w:cs="Arial"/>
                <w:color w:val="000000"/>
                <w:sz w:val="18"/>
                <w:szCs w:val="18"/>
              </w:rPr>
              <w:t>2,167</w:t>
            </w:r>
            <w:r>
              <w:rPr>
                <w:rFonts w:cs="Arial"/>
                <w:color w:val="000000"/>
                <w:sz w:val="18"/>
                <w:szCs w:val="18"/>
              </w:rPr>
              <w:t xml:space="preserve"> (Mar 17)</w:t>
            </w:r>
          </w:p>
        </w:tc>
        <w:tc>
          <w:tcPr>
            <w:tcW w:w="501" w:type="pct"/>
            <w:tcBorders>
              <w:top w:val="single" w:sz="4" w:space="0" w:color="auto"/>
              <w:left w:val="nil"/>
              <w:bottom w:val="single" w:sz="8" w:space="0" w:color="auto"/>
              <w:right w:val="single" w:sz="8" w:space="0" w:color="auto"/>
            </w:tcBorders>
            <w:shd w:val="clear" w:color="auto" w:fill="auto"/>
            <w:vAlign w:val="center"/>
            <w:hideMark/>
          </w:tcPr>
          <w:p w14:paraId="796C142A" w14:textId="77777777" w:rsidR="007E5A4C" w:rsidRPr="00D21CED" w:rsidRDefault="007E5A4C" w:rsidP="000A5AB7">
            <w:pPr>
              <w:jc w:val="both"/>
              <w:rPr>
                <w:rFonts w:cs="Arial"/>
                <w:color w:val="000000"/>
                <w:sz w:val="18"/>
                <w:szCs w:val="18"/>
              </w:rPr>
            </w:pPr>
            <w:r w:rsidRPr="00D21CED">
              <w:rPr>
                <w:rFonts w:cs="Arial"/>
                <w:color w:val="000000"/>
                <w:sz w:val="18"/>
                <w:szCs w:val="18"/>
              </w:rPr>
              <w:t>1,232</w:t>
            </w:r>
            <w:r>
              <w:rPr>
                <w:rFonts w:cs="Arial"/>
                <w:color w:val="000000"/>
                <w:sz w:val="18"/>
                <w:szCs w:val="18"/>
              </w:rPr>
              <w:t xml:space="preserve"> (Mar 18)</w:t>
            </w:r>
          </w:p>
        </w:tc>
        <w:tc>
          <w:tcPr>
            <w:tcW w:w="501" w:type="pct"/>
            <w:tcBorders>
              <w:top w:val="single" w:sz="4" w:space="0" w:color="auto"/>
              <w:left w:val="nil"/>
              <w:bottom w:val="single" w:sz="8" w:space="0" w:color="auto"/>
              <w:right w:val="single" w:sz="8" w:space="0" w:color="auto"/>
            </w:tcBorders>
            <w:shd w:val="clear" w:color="auto" w:fill="auto"/>
            <w:vAlign w:val="center"/>
            <w:hideMark/>
          </w:tcPr>
          <w:p w14:paraId="424E948E" w14:textId="77777777" w:rsidR="007E5A4C" w:rsidRPr="00D21CED" w:rsidRDefault="007E5A4C" w:rsidP="000A5AB7">
            <w:pPr>
              <w:jc w:val="both"/>
              <w:rPr>
                <w:rFonts w:cs="Arial"/>
                <w:color w:val="000000"/>
                <w:sz w:val="18"/>
                <w:szCs w:val="18"/>
              </w:rPr>
            </w:pPr>
            <w:r w:rsidRPr="00D21CED">
              <w:rPr>
                <w:rFonts w:cs="Arial"/>
                <w:color w:val="000000"/>
                <w:sz w:val="18"/>
                <w:szCs w:val="18"/>
              </w:rPr>
              <w:t>1,093    (Jun 18)</w:t>
            </w:r>
          </w:p>
        </w:tc>
        <w:tc>
          <w:tcPr>
            <w:tcW w:w="501" w:type="pct"/>
            <w:tcBorders>
              <w:top w:val="single" w:sz="4" w:space="0" w:color="auto"/>
              <w:left w:val="nil"/>
              <w:bottom w:val="single" w:sz="8" w:space="0" w:color="auto"/>
              <w:right w:val="single" w:sz="4" w:space="0" w:color="auto"/>
            </w:tcBorders>
            <w:shd w:val="clear" w:color="auto" w:fill="auto"/>
            <w:vAlign w:val="center"/>
          </w:tcPr>
          <w:p w14:paraId="5BA5EAD2" w14:textId="77777777" w:rsidR="007E5A4C" w:rsidRPr="000379A6" w:rsidRDefault="007E5A4C" w:rsidP="000A5AB7">
            <w:pPr>
              <w:jc w:val="both"/>
              <w:rPr>
                <w:rFonts w:cs="Arial"/>
                <w:color w:val="000000"/>
                <w:sz w:val="18"/>
                <w:szCs w:val="18"/>
              </w:rPr>
            </w:pPr>
            <w:r w:rsidRPr="000379A6">
              <w:rPr>
                <w:rFonts w:cs="Arial"/>
                <w:color w:val="000000"/>
                <w:sz w:val="18"/>
                <w:szCs w:val="18"/>
              </w:rPr>
              <w:t>1,102</w:t>
            </w:r>
            <w:r w:rsidRPr="000379A6">
              <w:rPr>
                <w:rFonts w:cs="Arial"/>
                <w:color w:val="000000"/>
                <w:sz w:val="18"/>
                <w:szCs w:val="18"/>
              </w:rPr>
              <w:br/>
              <w:t>(Sep 18)</w:t>
            </w:r>
          </w:p>
        </w:tc>
        <w:tc>
          <w:tcPr>
            <w:tcW w:w="502" w:type="pct"/>
            <w:tcBorders>
              <w:top w:val="single" w:sz="4" w:space="0" w:color="auto"/>
              <w:left w:val="single" w:sz="4" w:space="0" w:color="auto"/>
              <w:bottom w:val="single" w:sz="8" w:space="0" w:color="auto"/>
              <w:right w:val="single" w:sz="4" w:space="0" w:color="auto"/>
            </w:tcBorders>
            <w:shd w:val="clear" w:color="auto" w:fill="C5E0B3" w:themeFill="accent6" w:themeFillTint="66"/>
            <w:vAlign w:val="center"/>
          </w:tcPr>
          <w:p w14:paraId="072E4EF6" w14:textId="77777777" w:rsidR="007E5A4C" w:rsidRPr="002262D4" w:rsidRDefault="007E5A4C" w:rsidP="000A5AB7">
            <w:pPr>
              <w:jc w:val="both"/>
              <w:rPr>
                <w:rFonts w:cs="Arial"/>
                <w:color w:val="000000"/>
                <w:sz w:val="18"/>
                <w:szCs w:val="18"/>
              </w:rPr>
            </w:pPr>
            <w:r w:rsidRPr="002262D4">
              <w:rPr>
                <w:rFonts w:cs="Arial"/>
                <w:color w:val="000000"/>
                <w:sz w:val="18"/>
              </w:rPr>
              <w:t>1,094</w:t>
            </w:r>
            <w:r w:rsidRPr="002262D4">
              <w:rPr>
                <w:rFonts w:cs="Arial"/>
                <w:color w:val="000000"/>
                <w:sz w:val="18"/>
              </w:rPr>
              <w:br/>
              <w:t>(Nov 18)</w:t>
            </w:r>
          </w:p>
        </w:tc>
        <w:tc>
          <w:tcPr>
            <w:tcW w:w="495"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1697F096" w14:textId="77777777" w:rsidR="007E5A4C" w:rsidRPr="006076E8" w:rsidRDefault="007E5A4C" w:rsidP="000A5AB7">
            <w:pPr>
              <w:jc w:val="both"/>
              <w:rPr>
                <w:rFonts w:cs="Arial"/>
                <w:sz w:val="18"/>
                <w:szCs w:val="18"/>
              </w:rPr>
            </w:pPr>
            <w:r w:rsidRPr="006076E8">
              <w:rPr>
                <w:rFonts w:cs="Arial"/>
                <w:sz w:val="18"/>
                <w:szCs w:val="18"/>
              </w:rPr>
              <w:t>-</w:t>
            </w:r>
          </w:p>
        </w:tc>
      </w:tr>
      <w:tr w:rsidR="007E5A4C" w:rsidRPr="00D21CED" w14:paraId="0446382F" w14:textId="77777777" w:rsidTr="007E5A4C">
        <w:trPr>
          <w:trHeight w:val="6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tcPr>
          <w:p w14:paraId="2B700A41" w14:textId="77777777" w:rsidR="007E5A4C" w:rsidRPr="00D21CED" w:rsidRDefault="007E5A4C" w:rsidP="000A5AB7">
            <w:pPr>
              <w:jc w:val="both"/>
              <w:rPr>
                <w:rFonts w:cs="Arial"/>
                <w:b/>
                <w:bCs/>
                <w:color w:val="000000"/>
                <w:sz w:val="18"/>
                <w:szCs w:val="18"/>
              </w:rPr>
            </w:pPr>
            <w:r w:rsidRPr="00D21CED">
              <w:rPr>
                <w:rFonts w:cs="Arial"/>
                <w:b/>
                <w:bCs/>
                <w:color w:val="000000"/>
                <w:sz w:val="18"/>
                <w:szCs w:val="18"/>
              </w:rPr>
              <w:t>Quality of services</w:t>
            </w:r>
          </w:p>
        </w:tc>
      </w:tr>
      <w:tr w:rsidR="007E5A4C" w:rsidRPr="00D21CED" w14:paraId="703ED6B8" w14:textId="77777777" w:rsidTr="00C55A31">
        <w:trPr>
          <w:trHeight w:val="60"/>
        </w:trPr>
        <w:tc>
          <w:tcPr>
            <w:tcW w:w="1640" w:type="pct"/>
            <w:tcBorders>
              <w:top w:val="nil"/>
              <w:left w:val="single" w:sz="8" w:space="0" w:color="auto"/>
              <w:bottom w:val="single" w:sz="4" w:space="0" w:color="auto"/>
              <w:right w:val="single" w:sz="8" w:space="0" w:color="auto"/>
            </w:tcBorders>
            <w:shd w:val="clear" w:color="auto" w:fill="auto"/>
            <w:vAlign w:val="center"/>
            <w:hideMark/>
          </w:tcPr>
          <w:p w14:paraId="14E60B04" w14:textId="77777777" w:rsidR="007E5A4C" w:rsidRPr="00D21CED" w:rsidRDefault="007E5A4C" w:rsidP="000A5AB7">
            <w:pPr>
              <w:jc w:val="both"/>
              <w:rPr>
                <w:rFonts w:cs="Arial"/>
                <w:color w:val="000000"/>
                <w:sz w:val="18"/>
                <w:szCs w:val="18"/>
              </w:rPr>
            </w:pPr>
            <w:r w:rsidRPr="00D21CED">
              <w:rPr>
                <w:rFonts w:cs="Arial"/>
                <w:color w:val="000000"/>
                <w:sz w:val="18"/>
                <w:szCs w:val="18"/>
              </w:rPr>
              <w:t xml:space="preserve">Care Quality Commission (CQC) – Care Home ratings good/outstanding snapshot as at </w:t>
            </w:r>
            <w:r w:rsidR="003F1E3E">
              <w:rPr>
                <w:rFonts w:cs="Arial"/>
                <w:color w:val="000000"/>
                <w:sz w:val="18"/>
                <w:szCs w:val="18"/>
              </w:rPr>
              <w:t>period</w:t>
            </w:r>
            <w:r w:rsidR="00407851">
              <w:rPr>
                <w:rFonts w:cs="Arial"/>
                <w:color w:val="000000"/>
                <w:sz w:val="18"/>
                <w:szCs w:val="18"/>
              </w:rPr>
              <w:t xml:space="preserve"> end</w:t>
            </w:r>
          </w:p>
        </w:tc>
        <w:tc>
          <w:tcPr>
            <w:tcW w:w="359" w:type="pct"/>
            <w:tcBorders>
              <w:top w:val="nil"/>
              <w:left w:val="nil"/>
              <w:bottom w:val="single" w:sz="4" w:space="0" w:color="auto"/>
              <w:right w:val="single" w:sz="8" w:space="0" w:color="auto"/>
            </w:tcBorders>
            <w:shd w:val="clear" w:color="auto" w:fill="auto"/>
            <w:vAlign w:val="center"/>
            <w:hideMark/>
          </w:tcPr>
          <w:p w14:paraId="584144CF" w14:textId="77777777" w:rsidR="007E5A4C" w:rsidRPr="00D21CED" w:rsidRDefault="007E5A4C" w:rsidP="000A5AB7">
            <w:pPr>
              <w:jc w:val="both"/>
              <w:rPr>
                <w:rFonts w:cs="Arial"/>
                <w:color w:val="000000"/>
                <w:sz w:val="18"/>
                <w:szCs w:val="18"/>
              </w:rPr>
            </w:pPr>
            <w:r w:rsidRPr="00D21CED">
              <w:rPr>
                <w:rFonts w:cs="Arial"/>
                <w:color w:val="000000"/>
                <w:sz w:val="18"/>
                <w:szCs w:val="18"/>
              </w:rPr>
              <w:t>H</w:t>
            </w:r>
          </w:p>
        </w:tc>
        <w:tc>
          <w:tcPr>
            <w:tcW w:w="502" w:type="pct"/>
            <w:tcBorders>
              <w:top w:val="nil"/>
              <w:left w:val="nil"/>
              <w:bottom w:val="single" w:sz="4" w:space="0" w:color="auto"/>
              <w:right w:val="single" w:sz="8" w:space="0" w:color="auto"/>
            </w:tcBorders>
            <w:shd w:val="clear" w:color="auto" w:fill="auto"/>
            <w:vAlign w:val="center"/>
            <w:hideMark/>
          </w:tcPr>
          <w:p w14:paraId="5AF9A76B" w14:textId="77777777" w:rsidR="007E5A4C" w:rsidRPr="00D21CED" w:rsidRDefault="007E5A4C" w:rsidP="000A5AB7">
            <w:pPr>
              <w:jc w:val="both"/>
              <w:rPr>
                <w:rFonts w:cs="Arial"/>
                <w:color w:val="000000"/>
                <w:sz w:val="18"/>
                <w:szCs w:val="18"/>
              </w:rPr>
            </w:pPr>
            <w:r>
              <w:rPr>
                <w:rFonts w:cs="Arial"/>
                <w:color w:val="000000"/>
                <w:sz w:val="18"/>
                <w:szCs w:val="18"/>
              </w:rPr>
              <w:t>70.0</w:t>
            </w:r>
            <w:r w:rsidRPr="00D21CED">
              <w:rPr>
                <w:rFonts w:cs="Arial"/>
                <w:color w:val="000000"/>
                <w:sz w:val="18"/>
                <w:szCs w:val="18"/>
              </w:rPr>
              <w:t>%</w:t>
            </w:r>
          </w:p>
        </w:tc>
        <w:tc>
          <w:tcPr>
            <w:tcW w:w="501" w:type="pct"/>
            <w:tcBorders>
              <w:top w:val="nil"/>
              <w:left w:val="nil"/>
              <w:bottom w:val="single" w:sz="4" w:space="0" w:color="auto"/>
              <w:right w:val="single" w:sz="8" w:space="0" w:color="auto"/>
            </w:tcBorders>
            <w:shd w:val="clear" w:color="auto" w:fill="auto"/>
            <w:vAlign w:val="center"/>
            <w:hideMark/>
          </w:tcPr>
          <w:p w14:paraId="36989521" w14:textId="77777777" w:rsidR="007E5A4C" w:rsidRPr="00D21CED" w:rsidRDefault="007E5A4C" w:rsidP="000A5AB7">
            <w:pPr>
              <w:jc w:val="both"/>
              <w:rPr>
                <w:rFonts w:cs="Arial"/>
                <w:color w:val="000000"/>
                <w:sz w:val="18"/>
                <w:szCs w:val="18"/>
              </w:rPr>
            </w:pPr>
            <w:r>
              <w:rPr>
                <w:rFonts w:cs="Arial"/>
                <w:color w:val="000000"/>
                <w:sz w:val="18"/>
                <w:szCs w:val="18"/>
              </w:rPr>
              <w:t>75.9</w:t>
            </w:r>
            <w:r w:rsidRPr="00D21CED">
              <w:rPr>
                <w:rFonts w:cs="Arial"/>
                <w:color w:val="000000"/>
                <w:sz w:val="18"/>
                <w:szCs w:val="18"/>
              </w:rPr>
              <w:t>%</w:t>
            </w:r>
          </w:p>
        </w:tc>
        <w:tc>
          <w:tcPr>
            <w:tcW w:w="501" w:type="pct"/>
            <w:tcBorders>
              <w:top w:val="nil"/>
              <w:left w:val="nil"/>
              <w:bottom w:val="single" w:sz="4" w:space="0" w:color="auto"/>
              <w:right w:val="single" w:sz="8" w:space="0" w:color="auto"/>
            </w:tcBorders>
            <w:shd w:val="clear" w:color="auto" w:fill="auto"/>
            <w:vAlign w:val="center"/>
            <w:hideMark/>
          </w:tcPr>
          <w:p w14:paraId="169DE3FD" w14:textId="77777777" w:rsidR="007E5A4C" w:rsidRPr="00D21CED" w:rsidRDefault="007E5A4C" w:rsidP="000A5AB7">
            <w:pPr>
              <w:jc w:val="both"/>
              <w:rPr>
                <w:rFonts w:cs="Arial"/>
                <w:color w:val="000000"/>
                <w:sz w:val="18"/>
                <w:szCs w:val="18"/>
              </w:rPr>
            </w:pPr>
            <w:r w:rsidRPr="00D21CED">
              <w:rPr>
                <w:rFonts w:cs="Arial"/>
                <w:color w:val="000000"/>
                <w:sz w:val="18"/>
                <w:szCs w:val="18"/>
              </w:rPr>
              <w:t>78.8% (Jun 18)</w:t>
            </w:r>
          </w:p>
        </w:tc>
        <w:tc>
          <w:tcPr>
            <w:tcW w:w="501" w:type="pct"/>
            <w:tcBorders>
              <w:top w:val="nil"/>
              <w:left w:val="nil"/>
              <w:bottom w:val="single" w:sz="4" w:space="0" w:color="auto"/>
              <w:right w:val="single" w:sz="4" w:space="0" w:color="auto"/>
            </w:tcBorders>
            <w:shd w:val="clear" w:color="auto" w:fill="auto"/>
            <w:vAlign w:val="center"/>
          </w:tcPr>
          <w:p w14:paraId="424021F3" w14:textId="77777777" w:rsidR="007E5A4C" w:rsidRPr="00091243" w:rsidRDefault="007E5A4C" w:rsidP="000A5AB7">
            <w:pPr>
              <w:jc w:val="both"/>
              <w:rPr>
                <w:rFonts w:cs="Arial"/>
                <w:color w:val="000000"/>
                <w:sz w:val="18"/>
              </w:rPr>
            </w:pPr>
            <w:r w:rsidRPr="00091243">
              <w:rPr>
                <w:rFonts w:cs="Arial"/>
                <w:color w:val="000000"/>
                <w:sz w:val="18"/>
              </w:rPr>
              <w:t>80.4%</w:t>
            </w:r>
          </w:p>
          <w:p w14:paraId="3163343B" w14:textId="77777777" w:rsidR="007E5A4C" w:rsidRPr="00091243" w:rsidRDefault="007E5A4C" w:rsidP="000A5AB7">
            <w:pPr>
              <w:jc w:val="both"/>
              <w:rPr>
                <w:rFonts w:cs="Arial"/>
                <w:color w:val="000000"/>
                <w:sz w:val="18"/>
                <w:szCs w:val="18"/>
              </w:rPr>
            </w:pPr>
            <w:r w:rsidRPr="00091243">
              <w:rPr>
                <w:rFonts w:cs="Arial"/>
                <w:color w:val="000000"/>
                <w:sz w:val="18"/>
              </w:rPr>
              <w:t>(Sep 18)</w:t>
            </w:r>
          </w:p>
        </w:tc>
        <w:tc>
          <w:tcPr>
            <w:tcW w:w="502" w:type="pct"/>
            <w:tcBorders>
              <w:top w:val="nil"/>
              <w:left w:val="single" w:sz="4" w:space="0" w:color="auto"/>
              <w:bottom w:val="single" w:sz="4" w:space="0" w:color="auto"/>
              <w:right w:val="single" w:sz="4" w:space="0" w:color="auto"/>
            </w:tcBorders>
            <w:shd w:val="clear" w:color="auto" w:fill="C5E0B3" w:themeFill="accent6" w:themeFillTint="66"/>
            <w:vAlign w:val="center"/>
          </w:tcPr>
          <w:p w14:paraId="45D783D0" w14:textId="77777777" w:rsidR="007E5A4C" w:rsidRDefault="007E5A4C" w:rsidP="000A5AB7">
            <w:pPr>
              <w:jc w:val="both"/>
              <w:rPr>
                <w:rFonts w:cs="Arial"/>
                <w:color w:val="000000"/>
                <w:sz w:val="18"/>
              </w:rPr>
            </w:pPr>
            <w:r w:rsidRPr="006076E8">
              <w:rPr>
                <w:rFonts w:cs="Arial"/>
                <w:color w:val="000000"/>
                <w:sz w:val="18"/>
              </w:rPr>
              <w:t>82.4%</w:t>
            </w:r>
          </w:p>
          <w:p w14:paraId="77E8AE3B" w14:textId="77777777" w:rsidR="007E5A4C" w:rsidRPr="006076E8" w:rsidRDefault="007E5A4C" w:rsidP="000A5AB7">
            <w:pPr>
              <w:jc w:val="both"/>
              <w:rPr>
                <w:rFonts w:cs="Arial"/>
                <w:color w:val="000000"/>
                <w:sz w:val="18"/>
              </w:rPr>
            </w:pPr>
            <w:r>
              <w:rPr>
                <w:rFonts w:cs="Arial"/>
                <w:color w:val="000000"/>
                <w:sz w:val="18"/>
              </w:rPr>
              <w:t>(Dec 18)</w:t>
            </w:r>
          </w:p>
        </w:tc>
        <w:tc>
          <w:tcPr>
            <w:tcW w:w="495" w:type="pct"/>
            <w:tcBorders>
              <w:top w:val="nil"/>
              <w:left w:val="single" w:sz="4" w:space="0" w:color="auto"/>
              <w:bottom w:val="single" w:sz="4" w:space="0" w:color="auto"/>
              <w:right w:val="single" w:sz="8" w:space="0" w:color="auto"/>
            </w:tcBorders>
            <w:shd w:val="clear" w:color="auto" w:fill="auto"/>
            <w:vAlign w:val="center"/>
            <w:hideMark/>
          </w:tcPr>
          <w:p w14:paraId="34710E50" w14:textId="77777777" w:rsidR="007E5A4C" w:rsidRPr="006076E8" w:rsidRDefault="007E5A4C" w:rsidP="000A5AB7">
            <w:pPr>
              <w:jc w:val="both"/>
              <w:rPr>
                <w:rFonts w:cs="Arial"/>
                <w:color w:val="FF0000"/>
                <w:sz w:val="18"/>
                <w:szCs w:val="18"/>
              </w:rPr>
            </w:pPr>
            <w:r w:rsidRPr="006076E8">
              <w:rPr>
                <w:rFonts w:cs="Arial"/>
                <w:color w:val="000000"/>
                <w:sz w:val="18"/>
              </w:rPr>
              <w:t>81.5%</w:t>
            </w:r>
          </w:p>
        </w:tc>
      </w:tr>
      <w:tr w:rsidR="007E5A4C" w:rsidRPr="00D21CED" w14:paraId="1B2806D7" w14:textId="77777777" w:rsidTr="00C55A31">
        <w:trPr>
          <w:trHeight w:val="60"/>
        </w:trPr>
        <w:tc>
          <w:tcPr>
            <w:tcW w:w="164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5C051DF" w14:textId="77777777" w:rsidR="007E5A4C" w:rsidRPr="00D21CED" w:rsidRDefault="007E5A4C" w:rsidP="000A5AB7">
            <w:pPr>
              <w:jc w:val="both"/>
              <w:rPr>
                <w:rFonts w:cs="Arial"/>
                <w:color w:val="000000"/>
                <w:sz w:val="18"/>
                <w:szCs w:val="18"/>
              </w:rPr>
            </w:pPr>
            <w:r w:rsidRPr="00D21CED">
              <w:rPr>
                <w:rFonts w:cs="Arial"/>
                <w:color w:val="000000"/>
                <w:sz w:val="18"/>
                <w:szCs w:val="18"/>
              </w:rPr>
              <w:t xml:space="preserve">CQC </w:t>
            </w:r>
            <w:r w:rsidR="00407851">
              <w:rPr>
                <w:rFonts w:cs="Arial"/>
                <w:color w:val="000000"/>
                <w:sz w:val="18"/>
                <w:szCs w:val="18"/>
              </w:rPr>
              <w:t xml:space="preserve">Community Care Service ratings </w:t>
            </w:r>
            <w:r w:rsidRPr="00D21CED">
              <w:rPr>
                <w:rFonts w:cs="Arial"/>
                <w:color w:val="000000"/>
                <w:sz w:val="18"/>
                <w:szCs w:val="18"/>
              </w:rPr>
              <w:t xml:space="preserve">snapshot </w:t>
            </w:r>
            <w:r w:rsidR="00407851" w:rsidRPr="00D21CED">
              <w:rPr>
                <w:rFonts w:cs="Arial"/>
                <w:color w:val="000000"/>
                <w:sz w:val="18"/>
                <w:szCs w:val="18"/>
              </w:rPr>
              <w:t xml:space="preserve">as at </w:t>
            </w:r>
            <w:r w:rsidR="00407851">
              <w:rPr>
                <w:rFonts w:cs="Arial"/>
                <w:color w:val="000000"/>
                <w:sz w:val="18"/>
                <w:szCs w:val="18"/>
              </w:rPr>
              <w:t>period end</w:t>
            </w:r>
          </w:p>
        </w:tc>
        <w:tc>
          <w:tcPr>
            <w:tcW w:w="359" w:type="pct"/>
            <w:tcBorders>
              <w:top w:val="single" w:sz="4" w:space="0" w:color="auto"/>
              <w:left w:val="nil"/>
              <w:bottom w:val="single" w:sz="8" w:space="0" w:color="auto"/>
              <w:right w:val="single" w:sz="8" w:space="0" w:color="auto"/>
            </w:tcBorders>
            <w:shd w:val="clear" w:color="auto" w:fill="auto"/>
            <w:vAlign w:val="center"/>
            <w:hideMark/>
          </w:tcPr>
          <w:p w14:paraId="2E11A9C3" w14:textId="77777777" w:rsidR="007E5A4C" w:rsidRPr="00D21CED" w:rsidRDefault="007E5A4C" w:rsidP="000A5AB7">
            <w:pPr>
              <w:jc w:val="both"/>
              <w:rPr>
                <w:rFonts w:cs="Arial"/>
                <w:color w:val="000000"/>
                <w:sz w:val="18"/>
                <w:szCs w:val="18"/>
              </w:rPr>
            </w:pPr>
            <w:r w:rsidRPr="00D21CED">
              <w:rPr>
                <w:rFonts w:cs="Arial"/>
                <w:color w:val="000000"/>
                <w:sz w:val="18"/>
                <w:szCs w:val="18"/>
              </w:rPr>
              <w:t>H</w:t>
            </w:r>
          </w:p>
        </w:tc>
        <w:tc>
          <w:tcPr>
            <w:tcW w:w="502" w:type="pct"/>
            <w:tcBorders>
              <w:top w:val="single" w:sz="4" w:space="0" w:color="auto"/>
              <w:left w:val="nil"/>
              <w:bottom w:val="single" w:sz="8" w:space="0" w:color="auto"/>
              <w:right w:val="single" w:sz="8" w:space="0" w:color="auto"/>
            </w:tcBorders>
            <w:shd w:val="clear" w:color="auto" w:fill="auto"/>
            <w:vAlign w:val="center"/>
            <w:hideMark/>
          </w:tcPr>
          <w:p w14:paraId="76AA57D5" w14:textId="77777777" w:rsidR="007E5A4C" w:rsidRPr="00D21CED" w:rsidRDefault="007E5A4C" w:rsidP="000A5AB7">
            <w:pPr>
              <w:jc w:val="both"/>
              <w:rPr>
                <w:rFonts w:cs="Arial"/>
                <w:color w:val="000000"/>
                <w:sz w:val="18"/>
                <w:szCs w:val="18"/>
              </w:rPr>
            </w:pPr>
            <w:r>
              <w:rPr>
                <w:rFonts w:cs="Arial"/>
                <w:color w:val="000000"/>
                <w:sz w:val="18"/>
                <w:szCs w:val="18"/>
              </w:rPr>
              <w:t>80.1</w:t>
            </w:r>
            <w:r w:rsidRPr="00D21CED">
              <w:rPr>
                <w:rFonts w:cs="Arial"/>
                <w:color w:val="000000"/>
                <w:sz w:val="18"/>
                <w:szCs w:val="18"/>
              </w:rPr>
              <w:t>%</w:t>
            </w:r>
          </w:p>
        </w:tc>
        <w:tc>
          <w:tcPr>
            <w:tcW w:w="501" w:type="pct"/>
            <w:tcBorders>
              <w:top w:val="single" w:sz="4" w:space="0" w:color="auto"/>
              <w:left w:val="nil"/>
              <w:bottom w:val="single" w:sz="8" w:space="0" w:color="auto"/>
              <w:right w:val="single" w:sz="8" w:space="0" w:color="auto"/>
            </w:tcBorders>
            <w:shd w:val="clear" w:color="auto" w:fill="auto"/>
            <w:vAlign w:val="center"/>
            <w:hideMark/>
          </w:tcPr>
          <w:p w14:paraId="7FF876D8" w14:textId="77777777" w:rsidR="007E5A4C" w:rsidRPr="00D21CED" w:rsidRDefault="007E5A4C" w:rsidP="000A5AB7">
            <w:pPr>
              <w:jc w:val="both"/>
              <w:rPr>
                <w:rFonts w:cs="Arial"/>
                <w:color w:val="000000"/>
                <w:sz w:val="18"/>
                <w:szCs w:val="18"/>
              </w:rPr>
            </w:pPr>
            <w:r>
              <w:rPr>
                <w:rFonts w:cs="Arial"/>
                <w:color w:val="000000"/>
                <w:sz w:val="18"/>
                <w:szCs w:val="18"/>
              </w:rPr>
              <w:t>91.</w:t>
            </w:r>
            <w:r w:rsidRPr="00D21CED">
              <w:rPr>
                <w:rFonts w:cs="Arial"/>
                <w:color w:val="000000"/>
                <w:sz w:val="18"/>
                <w:szCs w:val="18"/>
              </w:rPr>
              <w:t>0%</w:t>
            </w:r>
          </w:p>
        </w:tc>
        <w:tc>
          <w:tcPr>
            <w:tcW w:w="501" w:type="pct"/>
            <w:tcBorders>
              <w:top w:val="single" w:sz="4" w:space="0" w:color="auto"/>
              <w:left w:val="nil"/>
              <w:bottom w:val="single" w:sz="8" w:space="0" w:color="auto"/>
              <w:right w:val="single" w:sz="8" w:space="0" w:color="auto"/>
            </w:tcBorders>
            <w:shd w:val="clear" w:color="auto" w:fill="auto"/>
            <w:vAlign w:val="center"/>
            <w:hideMark/>
          </w:tcPr>
          <w:p w14:paraId="79F42F08" w14:textId="77777777" w:rsidR="007E5A4C" w:rsidRPr="00D21CED" w:rsidRDefault="007E5A4C" w:rsidP="000A5AB7">
            <w:pPr>
              <w:jc w:val="both"/>
              <w:rPr>
                <w:rFonts w:cs="Arial"/>
                <w:color w:val="000000"/>
                <w:sz w:val="18"/>
                <w:szCs w:val="18"/>
              </w:rPr>
            </w:pPr>
            <w:r w:rsidRPr="00D21CED">
              <w:rPr>
                <w:rFonts w:cs="Arial"/>
                <w:color w:val="000000"/>
                <w:sz w:val="18"/>
                <w:szCs w:val="18"/>
              </w:rPr>
              <w:t>92.8% (Jun 18)</w:t>
            </w:r>
          </w:p>
        </w:tc>
        <w:tc>
          <w:tcPr>
            <w:tcW w:w="501" w:type="pct"/>
            <w:tcBorders>
              <w:top w:val="single" w:sz="4" w:space="0" w:color="auto"/>
              <w:left w:val="nil"/>
              <w:bottom w:val="single" w:sz="8" w:space="0" w:color="auto"/>
              <w:right w:val="single" w:sz="4" w:space="0" w:color="auto"/>
            </w:tcBorders>
            <w:shd w:val="clear" w:color="auto" w:fill="auto"/>
            <w:vAlign w:val="center"/>
          </w:tcPr>
          <w:p w14:paraId="27BD3BC5" w14:textId="77777777" w:rsidR="007E5A4C" w:rsidRPr="00091243" w:rsidRDefault="007E5A4C" w:rsidP="000A5AB7">
            <w:pPr>
              <w:jc w:val="both"/>
              <w:rPr>
                <w:rFonts w:cs="Arial"/>
                <w:color w:val="000000"/>
                <w:sz w:val="18"/>
              </w:rPr>
            </w:pPr>
            <w:r w:rsidRPr="00091243">
              <w:rPr>
                <w:rFonts w:cs="Arial"/>
                <w:color w:val="000000"/>
                <w:sz w:val="18"/>
              </w:rPr>
              <w:t>94.0%</w:t>
            </w:r>
            <w:r>
              <w:rPr>
                <w:rFonts w:cs="Arial"/>
                <w:color w:val="000000"/>
                <w:sz w:val="18"/>
              </w:rPr>
              <w:t xml:space="preserve"> (Sep 1</w:t>
            </w:r>
            <w:r w:rsidRPr="00091243">
              <w:rPr>
                <w:rFonts w:cs="Arial"/>
                <w:color w:val="000000"/>
                <w:sz w:val="18"/>
              </w:rPr>
              <w:t>8)</w:t>
            </w:r>
          </w:p>
        </w:tc>
        <w:tc>
          <w:tcPr>
            <w:tcW w:w="502" w:type="pct"/>
            <w:tcBorders>
              <w:top w:val="single" w:sz="4" w:space="0" w:color="auto"/>
              <w:left w:val="single" w:sz="4" w:space="0" w:color="auto"/>
              <w:bottom w:val="single" w:sz="8" w:space="0" w:color="auto"/>
              <w:right w:val="single" w:sz="4" w:space="0" w:color="auto"/>
            </w:tcBorders>
            <w:shd w:val="clear" w:color="auto" w:fill="C5E0B3" w:themeFill="accent6" w:themeFillTint="66"/>
            <w:vAlign w:val="center"/>
          </w:tcPr>
          <w:p w14:paraId="21AAC3C5" w14:textId="77777777" w:rsidR="007E5A4C" w:rsidRDefault="007E5A4C" w:rsidP="000A5AB7">
            <w:pPr>
              <w:jc w:val="both"/>
              <w:rPr>
                <w:rFonts w:cs="Arial"/>
                <w:color w:val="000000"/>
                <w:sz w:val="18"/>
              </w:rPr>
            </w:pPr>
            <w:r w:rsidRPr="006076E8">
              <w:rPr>
                <w:rFonts w:cs="Arial"/>
                <w:color w:val="000000"/>
                <w:sz w:val="18"/>
              </w:rPr>
              <w:t>95.0%</w:t>
            </w:r>
          </w:p>
          <w:p w14:paraId="2F250FD2" w14:textId="77777777" w:rsidR="007E5A4C" w:rsidRPr="006076E8" w:rsidRDefault="007E5A4C" w:rsidP="000A5AB7">
            <w:pPr>
              <w:jc w:val="both"/>
              <w:rPr>
                <w:rFonts w:cs="Arial"/>
                <w:color w:val="000000"/>
                <w:sz w:val="18"/>
              </w:rPr>
            </w:pPr>
            <w:r>
              <w:rPr>
                <w:rFonts w:cs="Arial"/>
                <w:color w:val="000000"/>
                <w:sz w:val="18"/>
              </w:rPr>
              <w:t>(Dec 18)</w:t>
            </w:r>
          </w:p>
        </w:tc>
        <w:tc>
          <w:tcPr>
            <w:tcW w:w="495"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3BDCA80E" w14:textId="77777777" w:rsidR="007E5A4C" w:rsidRPr="006076E8" w:rsidRDefault="007E5A4C" w:rsidP="000A5AB7">
            <w:pPr>
              <w:jc w:val="both"/>
              <w:rPr>
                <w:rFonts w:cs="Arial"/>
                <w:color w:val="FF0000"/>
                <w:sz w:val="18"/>
                <w:szCs w:val="18"/>
              </w:rPr>
            </w:pPr>
            <w:r w:rsidRPr="006076E8">
              <w:rPr>
                <w:rFonts w:cs="Arial"/>
                <w:color w:val="000000"/>
                <w:sz w:val="18"/>
              </w:rPr>
              <w:t>86.9%</w:t>
            </w:r>
          </w:p>
        </w:tc>
      </w:tr>
    </w:tbl>
    <w:p w14:paraId="699B3334" w14:textId="77777777" w:rsidR="007E5A4C" w:rsidRDefault="007E5A4C" w:rsidP="000A5AB7">
      <w:pPr>
        <w:contextualSpacing/>
        <w:jc w:val="both"/>
        <w:rPr>
          <w:rFonts w:eastAsiaTheme="minorHAnsi" w:cs="Arial"/>
          <w:i/>
          <w:szCs w:val="24"/>
          <w:lang w:eastAsia="en-US"/>
        </w:rPr>
      </w:pPr>
    </w:p>
    <w:p w14:paraId="02084E93" w14:textId="77777777" w:rsidR="007E5A4C" w:rsidRDefault="007E5A4C" w:rsidP="000A5AB7">
      <w:pPr>
        <w:contextualSpacing/>
        <w:jc w:val="both"/>
        <w:rPr>
          <w:rFonts w:eastAsiaTheme="minorHAnsi" w:cs="Arial"/>
          <w:i/>
          <w:szCs w:val="24"/>
          <w:lang w:eastAsia="en-US"/>
        </w:rPr>
      </w:pPr>
      <w:r w:rsidRPr="002262D4">
        <w:rPr>
          <w:rFonts w:eastAsiaTheme="minorHAnsi" w:cs="Arial"/>
          <w:i/>
          <w:szCs w:val="24"/>
          <w:lang w:eastAsia="en-US"/>
        </w:rPr>
        <w:t>Adult social care - personalisation</w:t>
      </w:r>
    </w:p>
    <w:p w14:paraId="13BB1A79" w14:textId="03DFBA7B" w:rsidR="007E5A4C" w:rsidRPr="00A5758A" w:rsidRDefault="00B56AF1" w:rsidP="000A5AB7">
      <w:pPr>
        <w:pStyle w:val="NoSpacing"/>
        <w:jc w:val="both"/>
        <w:rPr>
          <w:rFonts w:ascii="Arial" w:hAnsi="Arial" w:cs="Arial"/>
          <w:sz w:val="24"/>
          <w:szCs w:val="24"/>
        </w:rPr>
      </w:pPr>
      <w:r>
        <w:rPr>
          <w:rFonts w:ascii="Arial" w:hAnsi="Arial" w:cs="Arial"/>
          <w:sz w:val="24"/>
          <w:szCs w:val="24"/>
        </w:rPr>
        <w:t xml:space="preserve">There is an </w:t>
      </w:r>
      <w:r w:rsidR="007E5A4C" w:rsidRPr="00A5758A">
        <w:rPr>
          <w:rFonts w:ascii="Arial" w:hAnsi="Arial" w:cs="Arial"/>
          <w:sz w:val="24"/>
          <w:szCs w:val="24"/>
        </w:rPr>
        <w:t xml:space="preserve">increase in the proportion </w:t>
      </w:r>
      <w:r>
        <w:rPr>
          <w:rFonts w:ascii="Arial" w:hAnsi="Arial" w:cs="Arial"/>
          <w:sz w:val="24"/>
          <w:szCs w:val="24"/>
        </w:rPr>
        <w:t xml:space="preserve">of people </w:t>
      </w:r>
      <w:r w:rsidR="007E5A4C" w:rsidRPr="00A5758A">
        <w:rPr>
          <w:rFonts w:ascii="Arial" w:hAnsi="Arial" w:cs="Arial"/>
          <w:sz w:val="24"/>
          <w:szCs w:val="24"/>
        </w:rPr>
        <w:t>receiving direct payments, which now takes Lancashire higher than the national average.</w:t>
      </w:r>
      <w:r>
        <w:rPr>
          <w:rFonts w:ascii="Arial" w:hAnsi="Arial" w:cs="Arial"/>
          <w:sz w:val="24"/>
          <w:szCs w:val="24"/>
        </w:rPr>
        <w:t xml:space="preserve"> This is primarily due to service users choosing to take direct payments when their home care provision was reviewed.  Direct paymen</w:t>
      </w:r>
      <w:r w:rsidR="0049007B">
        <w:rPr>
          <w:rFonts w:ascii="Arial" w:hAnsi="Arial" w:cs="Arial"/>
          <w:sz w:val="24"/>
          <w:szCs w:val="24"/>
        </w:rPr>
        <w:t>ts</w:t>
      </w:r>
      <w:r>
        <w:rPr>
          <w:rFonts w:ascii="Arial" w:hAnsi="Arial" w:cs="Arial"/>
          <w:sz w:val="24"/>
          <w:szCs w:val="24"/>
        </w:rPr>
        <w:t xml:space="preserve"> allow people to choose their own provider of services, rather than receiving services from a provider commissioned by the Local Authority.</w:t>
      </w:r>
    </w:p>
    <w:p w14:paraId="0BF348DD" w14:textId="77777777" w:rsidR="007E5A4C" w:rsidRPr="002262D4" w:rsidRDefault="007E5A4C" w:rsidP="000A5AB7">
      <w:pPr>
        <w:contextualSpacing/>
        <w:jc w:val="both"/>
        <w:rPr>
          <w:rFonts w:cs="Arial"/>
          <w:szCs w:val="24"/>
        </w:rPr>
      </w:pPr>
    </w:p>
    <w:p w14:paraId="0F3EF38C" w14:textId="77777777" w:rsidR="007E5A4C" w:rsidRPr="00E0027E" w:rsidRDefault="007E5A4C" w:rsidP="000A5AB7">
      <w:pPr>
        <w:contextualSpacing/>
        <w:jc w:val="both"/>
        <w:rPr>
          <w:rFonts w:cs="Arial"/>
          <w:szCs w:val="24"/>
        </w:rPr>
      </w:pPr>
      <w:r>
        <w:rPr>
          <w:rFonts w:eastAsiaTheme="minorHAnsi" w:cs="Arial"/>
          <w:i/>
          <w:szCs w:val="24"/>
          <w:lang w:eastAsia="en-US"/>
        </w:rPr>
        <w:t>Support for people to remain independent</w:t>
      </w:r>
    </w:p>
    <w:p w14:paraId="487DFAEA" w14:textId="77777777" w:rsidR="00BD7D7A" w:rsidRDefault="007E5A4C" w:rsidP="000A5AB7">
      <w:pPr>
        <w:pStyle w:val="NoSpacing"/>
        <w:jc w:val="both"/>
        <w:rPr>
          <w:rFonts w:ascii="Arial" w:hAnsi="Arial" w:cs="Arial"/>
          <w:sz w:val="24"/>
          <w:szCs w:val="24"/>
        </w:rPr>
      </w:pPr>
      <w:r w:rsidRPr="002262D4">
        <w:rPr>
          <w:rFonts w:ascii="Arial" w:hAnsi="Arial" w:cs="Arial"/>
          <w:sz w:val="24"/>
          <w:szCs w:val="24"/>
        </w:rPr>
        <w:t xml:space="preserve">The focus on maximising people's independence continues to be demonstrated by the number of people who are receiving </w:t>
      </w:r>
      <w:proofErr w:type="spellStart"/>
      <w:r w:rsidR="006057BC">
        <w:rPr>
          <w:rFonts w:ascii="Arial" w:hAnsi="Arial" w:cs="Arial"/>
          <w:sz w:val="24"/>
          <w:szCs w:val="24"/>
        </w:rPr>
        <w:t>re</w:t>
      </w:r>
      <w:r w:rsidR="00C74844" w:rsidRPr="002262D4">
        <w:rPr>
          <w:rFonts w:ascii="Arial" w:hAnsi="Arial" w:cs="Arial"/>
          <w:sz w:val="24"/>
          <w:szCs w:val="24"/>
        </w:rPr>
        <w:t>ablement</w:t>
      </w:r>
      <w:proofErr w:type="spellEnd"/>
      <w:r w:rsidRPr="002262D4">
        <w:rPr>
          <w:rFonts w:ascii="Arial" w:hAnsi="Arial" w:cs="Arial"/>
          <w:sz w:val="24"/>
          <w:szCs w:val="24"/>
        </w:rPr>
        <w:t xml:space="preserve"> and its effectiveness.  </w:t>
      </w:r>
      <w:r w:rsidR="0049007B">
        <w:rPr>
          <w:rFonts w:ascii="Arial" w:hAnsi="Arial" w:cs="Arial"/>
          <w:sz w:val="24"/>
          <w:szCs w:val="24"/>
        </w:rPr>
        <w:t>There has been a reduction in the number of older people admitted to residential care, but</w:t>
      </w:r>
      <w:r w:rsidRPr="002262D4">
        <w:rPr>
          <w:rFonts w:ascii="Arial" w:hAnsi="Arial" w:cs="Arial"/>
          <w:sz w:val="24"/>
          <w:szCs w:val="24"/>
        </w:rPr>
        <w:t xml:space="preserve"> concerns </w:t>
      </w:r>
      <w:r w:rsidR="00BD7D7A">
        <w:rPr>
          <w:rFonts w:ascii="Arial" w:hAnsi="Arial" w:cs="Arial"/>
          <w:sz w:val="24"/>
          <w:szCs w:val="24"/>
        </w:rPr>
        <w:t xml:space="preserve">still </w:t>
      </w:r>
      <w:r w:rsidRPr="002262D4">
        <w:rPr>
          <w:rFonts w:ascii="Arial" w:hAnsi="Arial" w:cs="Arial"/>
          <w:sz w:val="24"/>
          <w:szCs w:val="24"/>
        </w:rPr>
        <w:t xml:space="preserve">remain about the </w:t>
      </w:r>
      <w:r w:rsidR="00BD7D7A">
        <w:rPr>
          <w:rFonts w:ascii="Arial" w:hAnsi="Arial" w:cs="Arial"/>
          <w:sz w:val="24"/>
          <w:szCs w:val="24"/>
        </w:rPr>
        <w:t xml:space="preserve">medium term </w:t>
      </w:r>
      <w:r w:rsidRPr="002262D4">
        <w:rPr>
          <w:rFonts w:ascii="Arial" w:hAnsi="Arial" w:cs="Arial"/>
          <w:sz w:val="24"/>
          <w:szCs w:val="24"/>
        </w:rPr>
        <w:t>level of admissions</w:t>
      </w:r>
      <w:r w:rsidR="00BD7D7A">
        <w:rPr>
          <w:rFonts w:ascii="Arial" w:hAnsi="Arial" w:cs="Arial"/>
          <w:sz w:val="24"/>
          <w:szCs w:val="24"/>
        </w:rPr>
        <w:t xml:space="preserve">. </w:t>
      </w:r>
    </w:p>
    <w:p w14:paraId="093D147C" w14:textId="77777777" w:rsidR="00BD7D7A" w:rsidRDefault="00BD7D7A" w:rsidP="000A5AB7">
      <w:pPr>
        <w:pStyle w:val="NoSpacing"/>
        <w:jc w:val="both"/>
        <w:rPr>
          <w:rFonts w:ascii="Arial" w:hAnsi="Arial" w:cs="Arial"/>
          <w:sz w:val="24"/>
          <w:szCs w:val="24"/>
        </w:rPr>
      </w:pPr>
    </w:p>
    <w:p w14:paraId="429AD22E" w14:textId="284C4B02" w:rsidR="00BD7D7A" w:rsidRPr="008D2153" w:rsidRDefault="00BD7D7A" w:rsidP="000A5AB7">
      <w:pPr>
        <w:pStyle w:val="NoSpacing"/>
        <w:jc w:val="both"/>
        <w:rPr>
          <w:rFonts w:ascii="Arial" w:hAnsi="Arial" w:cs="Arial"/>
          <w:sz w:val="24"/>
          <w:szCs w:val="24"/>
        </w:rPr>
      </w:pPr>
      <w:r w:rsidRPr="008D2153">
        <w:rPr>
          <w:rFonts w:ascii="Arial" w:hAnsi="Arial" w:cs="Arial"/>
          <w:sz w:val="24"/>
          <w:szCs w:val="24"/>
        </w:rPr>
        <w:t>Residential care admission rates across the N</w:t>
      </w:r>
      <w:r w:rsidR="000A5AB7">
        <w:rPr>
          <w:rFonts w:ascii="Arial" w:hAnsi="Arial" w:cs="Arial"/>
          <w:sz w:val="24"/>
          <w:szCs w:val="24"/>
        </w:rPr>
        <w:t xml:space="preserve">orth </w:t>
      </w:r>
      <w:r w:rsidRPr="008D2153">
        <w:rPr>
          <w:rFonts w:ascii="Arial" w:hAnsi="Arial" w:cs="Arial"/>
          <w:sz w:val="24"/>
          <w:szCs w:val="24"/>
        </w:rPr>
        <w:t>W</w:t>
      </w:r>
      <w:r w:rsidR="000A5AB7">
        <w:rPr>
          <w:rFonts w:ascii="Arial" w:hAnsi="Arial" w:cs="Arial"/>
          <w:sz w:val="24"/>
          <w:szCs w:val="24"/>
        </w:rPr>
        <w:t>est</w:t>
      </w:r>
      <w:r w:rsidRPr="008D2153">
        <w:rPr>
          <w:rFonts w:ascii="Arial" w:hAnsi="Arial" w:cs="Arial"/>
          <w:sz w:val="24"/>
          <w:szCs w:val="24"/>
        </w:rPr>
        <w:t xml:space="preserve"> are generally significantly higher than the national average, and this suggests this is a strategic commissioning challenge the whole N</w:t>
      </w:r>
      <w:r w:rsidR="000A5AB7">
        <w:rPr>
          <w:rFonts w:ascii="Arial" w:hAnsi="Arial" w:cs="Arial"/>
          <w:sz w:val="24"/>
          <w:szCs w:val="24"/>
        </w:rPr>
        <w:t xml:space="preserve">orth </w:t>
      </w:r>
      <w:r w:rsidRPr="008D2153">
        <w:rPr>
          <w:rFonts w:ascii="Arial" w:hAnsi="Arial" w:cs="Arial"/>
          <w:sz w:val="24"/>
          <w:szCs w:val="24"/>
        </w:rPr>
        <w:t>W</w:t>
      </w:r>
      <w:r w:rsidR="000A5AB7">
        <w:rPr>
          <w:rFonts w:ascii="Arial" w:hAnsi="Arial" w:cs="Arial"/>
          <w:sz w:val="24"/>
          <w:szCs w:val="24"/>
        </w:rPr>
        <w:t>est</w:t>
      </w:r>
      <w:r w:rsidRPr="008D2153">
        <w:rPr>
          <w:rFonts w:ascii="Arial" w:hAnsi="Arial" w:cs="Arial"/>
          <w:sz w:val="24"/>
          <w:szCs w:val="24"/>
        </w:rPr>
        <w:t xml:space="preserve"> region must address. We are therefore committed to working with colleagues to bring in additional expertise to address the concerns as part of N</w:t>
      </w:r>
      <w:r w:rsidR="000A5AB7">
        <w:rPr>
          <w:rFonts w:ascii="Arial" w:hAnsi="Arial" w:cs="Arial"/>
          <w:sz w:val="24"/>
          <w:szCs w:val="24"/>
        </w:rPr>
        <w:t xml:space="preserve">orth </w:t>
      </w:r>
      <w:r w:rsidRPr="008D2153">
        <w:rPr>
          <w:rFonts w:ascii="Arial" w:hAnsi="Arial" w:cs="Arial"/>
          <w:sz w:val="24"/>
          <w:szCs w:val="24"/>
        </w:rPr>
        <w:t>W</w:t>
      </w:r>
      <w:r w:rsidR="000A5AB7">
        <w:rPr>
          <w:rFonts w:ascii="Arial" w:hAnsi="Arial" w:cs="Arial"/>
          <w:sz w:val="24"/>
          <w:szCs w:val="24"/>
        </w:rPr>
        <w:t>est</w:t>
      </w:r>
      <w:r w:rsidRPr="008D2153">
        <w:rPr>
          <w:rFonts w:ascii="Arial" w:hAnsi="Arial" w:cs="Arial"/>
          <w:sz w:val="24"/>
          <w:szCs w:val="24"/>
        </w:rPr>
        <w:t xml:space="preserve"> A</w:t>
      </w:r>
      <w:r w:rsidR="00BC7288">
        <w:rPr>
          <w:rFonts w:ascii="Arial" w:hAnsi="Arial" w:cs="Arial"/>
          <w:sz w:val="24"/>
          <w:szCs w:val="24"/>
        </w:rPr>
        <w:t xml:space="preserve">ssociation of </w:t>
      </w:r>
      <w:r w:rsidRPr="008D2153">
        <w:rPr>
          <w:rFonts w:ascii="Arial" w:hAnsi="Arial" w:cs="Arial"/>
          <w:sz w:val="24"/>
          <w:szCs w:val="24"/>
        </w:rPr>
        <w:t>D</w:t>
      </w:r>
      <w:r w:rsidR="00BC7288">
        <w:rPr>
          <w:rFonts w:ascii="Arial" w:hAnsi="Arial" w:cs="Arial"/>
          <w:sz w:val="24"/>
          <w:szCs w:val="24"/>
        </w:rPr>
        <w:t xml:space="preserve">irectors of </w:t>
      </w:r>
      <w:r w:rsidRPr="008D2153">
        <w:rPr>
          <w:rFonts w:ascii="Arial" w:hAnsi="Arial" w:cs="Arial"/>
          <w:sz w:val="24"/>
          <w:szCs w:val="24"/>
        </w:rPr>
        <w:t>A</w:t>
      </w:r>
      <w:r w:rsidR="00BC7288">
        <w:rPr>
          <w:rFonts w:ascii="Arial" w:hAnsi="Arial" w:cs="Arial"/>
          <w:sz w:val="24"/>
          <w:szCs w:val="24"/>
        </w:rPr>
        <w:t xml:space="preserve">dult </w:t>
      </w:r>
      <w:r w:rsidRPr="008D2153">
        <w:rPr>
          <w:rFonts w:ascii="Arial" w:hAnsi="Arial" w:cs="Arial"/>
          <w:sz w:val="24"/>
          <w:szCs w:val="24"/>
        </w:rPr>
        <w:t>S</w:t>
      </w:r>
      <w:r w:rsidR="00BC7288">
        <w:rPr>
          <w:rFonts w:ascii="Arial" w:hAnsi="Arial" w:cs="Arial"/>
          <w:sz w:val="24"/>
          <w:szCs w:val="24"/>
        </w:rPr>
        <w:t xml:space="preserve">ocial </w:t>
      </w:r>
      <w:r w:rsidRPr="008D2153">
        <w:rPr>
          <w:rFonts w:ascii="Arial" w:hAnsi="Arial" w:cs="Arial"/>
          <w:sz w:val="24"/>
          <w:szCs w:val="24"/>
        </w:rPr>
        <w:t>S</w:t>
      </w:r>
      <w:r w:rsidR="00BC7288">
        <w:rPr>
          <w:rFonts w:ascii="Arial" w:hAnsi="Arial" w:cs="Arial"/>
          <w:sz w:val="24"/>
          <w:szCs w:val="24"/>
        </w:rPr>
        <w:t>ervices</w:t>
      </w:r>
      <w:bookmarkStart w:id="0" w:name="_GoBack"/>
      <w:bookmarkEnd w:id="0"/>
      <w:r w:rsidRPr="008D2153">
        <w:rPr>
          <w:rFonts w:ascii="Arial" w:hAnsi="Arial" w:cs="Arial"/>
          <w:sz w:val="24"/>
          <w:szCs w:val="24"/>
        </w:rPr>
        <w:t xml:space="preserve"> Sector Led </w:t>
      </w:r>
      <w:r w:rsidRPr="008D2153">
        <w:rPr>
          <w:rFonts w:ascii="Arial" w:hAnsi="Arial" w:cs="Arial"/>
          <w:sz w:val="24"/>
          <w:szCs w:val="24"/>
        </w:rPr>
        <w:lastRenderedPageBreak/>
        <w:t>Improvement work.  Lancashire's own admission rate is itself considerably higher than the national average, and so it is a key Service Challenge for us to address the causes of this high rate and drive sustained improvement by learning from other Councils and from testing different approaches and specific measures.  Targets have been set for these improvements over the next 4 years, which will also deliver significant financial savings.  However</w:t>
      </w:r>
      <w:r w:rsidR="000A5AB7">
        <w:rPr>
          <w:rFonts w:ascii="Arial" w:hAnsi="Arial" w:cs="Arial"/>
          <w:sz w:val="24"/>
          <w:szCs w:val="24"/>
        </w:rPr>
        <w:t>,</w:t>
      </w:r>
      <w:r w:rsidRPr="008D2153">
        <w:rPr>
          <w:rFonts w:ascii="Arial" w:hAnsi="Arial" w:cs="Arial"/>
          <w:sz w:val="24"/>
          <w:szCs w:val="24"/>
        </w:rPr>
        <w:t xml:space="preserve"> not all the necessary measures are yet in place to ensure improvements are sustainable, and the admission rates may also have some in year seasonal fluctuations that will mask the scale and even the direction of change over the medium to long term.</w:t>
      </w:r>
    </w:p>
    <w:p w14:paraId="3354490E" w14:textId="77777777" w:rsidR="007E5A4C" w:rsidRPr="00C167C6" w:rsidRDefault="007E5A4C" w:rsidP="000A5AB7">
      <w:pPr>
        <w:pStyle w:val="NoSpacing"/>
        <w:jc w:val="both"/>
        <w:rPr>
          <w:rFonts w:ascii="Arial" w:hAnsi="Arial" w:cs="Arial"/>
          <w:sz w:val="24"/>
          <w:szCs w:val="24"/>
        </w:rPr>
      </w:pPr>
    </w:p>
    <w:p w14:paraId="438373BB" w14:textId="77777777" w:rsidR="007E5A4C" w:rsidRPr="00C167C6" w:rsidRDefault="007E5A4C" w:rsidP="000A5AB7">
      <w:pPr>
        <w:pStyle w:val="NoSpacing"/>
        <w:jc w:val="both"/>
        <w:rPr>
          <w:rFonts w:ascii="Arial" w:hAnsi="Arial" w:cs="Arial"/>
          <w:sz w:val="24"/>
          <w:szCs w:val="24"/>
        </w:rPr>
      </w:pPr>
      <w:r w:rsidRPr="00C167C6">
        <w:rPr>
          <w:rFonts w:ascii="Arial" w:hAnsi="Arial" w:cs="Arial"/>
          <w:sz w:val="24"/>
          <w:szCs w:val="24"/>
        </w:rPr>
        <w:t xml:space="preserve">The number of people waiting for OT assessments continues to reduce and shows a dramatic improvement over recent years. </w:t>
      </w:r>
    </w:p>
    <w:p w14:paraId="24FB9804" w14:textId="77777777" w:rsidR="007E5A4C" w:rsidRDefault="007E5A4C" w:rsidP="000A5AB7">
      <w:pPr>
        <w:contextualSpacing/>
        <w:jc w:val="both"/>
        <w:rPr>
          <w:rFonts w:cs="Arial"/>
          <w:color w:val="FF0000"/>
          <w:szCs w:val="24"/>
        </w:rPr>
      </w:pPr>
    </w:p>
    <w:p w14:paraId="63038514" w14:textId="77777777" w:rsidR="007E5A4C" w:rsidRDefault="007E5A4C" w:rsidP="000A5AB7">
      <w:pPr>
        <w:contextualSpacing/>
        <w:jc w:val="both"/>
        <w:rPr>
          <w:rFonts w:cs="Arial"/>
          <w:szCs w:val="24"/>
        </w:rPr>
      </w:pPr>
      <w:r>
        <w:rPr>
          <w:rFonts w:eastAsiaTheme="minorHAnsi" w:cs="Arial"/>
          <w:i/>
          <w:szCs w:val="24"/>
          <w:lang w:eastAsia="en-US"/>
        </w:rPr>
        <w:t>Timeliness of assessments and support</w:t>
      </w:r>
    </w:p>
    <w:p w14:paraId="19152FE0" w14:textId="7CD63416" w:rsidR="007E5A4C" w:rsidRDefault="007E5A4C" w:rsidP="000A5AB7">
      <w:pPr>
        <w:pStyle w:val="NoSpacing"/>
        <w:jc w:val="both"/>
        <w:rPr>
          <w:rFonts w:ascii="Arial" w:hAnsi="Arial" w:cs="Arial"/>
          <w:sz w:val="24"/>
          <w:szCs w:val="24"/>
        </w:rPr>
      </w:pPr>
      <w:r w:rsidRPr="00C174B0">
        <w:rPr>
          <w:rFonts w:ascii="Arial" w:hAnsi="Arial" w:cs="Arial"/>
          <w:sz w:val="24"/>
          <w:szCs w:val="24"/>
        </w:rPr>
        <w:t>Over 96% of social work assessments were completed within 4 weeks.  There are still currently around 1100 people waiting for a social work assessment, though this figure</w:t>
      </w:r>
      <w:r w:rsidR="00E24A68">
        <w:rPr>
          <w:rFonts w:ascii="Arial" w:hAnsi="Arial" w:cs="Arial"/>
          <w:sz w:val="24"/>
          <w:szCs w:val="24"/>
        </w:rPr>
        <w:t xml:space="preserve"> is improving</w:t>
      </w:r>
      <w:r w:rsidR="00A67CC0">
        <w:rPr>
          <w:rFonts w:ascii="Arial" w:hAnsi="Arial" w:cs="Arial"/>
          <w:sz w:val="24"/>
          <w:szCs w:val="24"/>
        </w:rPr>
        <w:t xml:space="preserve"> and waiting time</w:t>
      </w:r>
      <w:r w:rsidR="008E27A1">
        <w:rPr>
          <w:rFonts w:ascii="Arial" w:hAnsi="Arial" w:cs="Arial"/>
          <w:sz w:val="24"/>
          <w:szCs w:val="24"/>
        </w:rPr>
        <w:t>s</w:t>
      </w:r>
      <w:r w:rsidR="00A67CC0">
        <w:rPr>
          <w:rFonts w:ascii="Arial" w:hAnsi="Arial" w:cs="Arial"/>
          <w:sz w:val="24"/>
          <w:szCs w:val="24"/>
        </w:rPr>
        <w:t xml:space="preserve"> themselves are improving. Waiting lists are influenced partly by front door demand, but also by provider failure and competing priorities within other service areas. Remaining cases have all been screened and temporary services commissioned where appropriate. </w:t>
      </w:r>
      <w:r w:rsidR="0049007B">
        <w:rPr>
          <w:rFonts w:ascii="Arial" w:hAnsi="Arial" w:cs="Arial"/>
          <w:sz w:val="24"/>
          <w:szCs w:val="24"/>
        </w:rPr>
        <w:t>Ensu</w:t>
      </w:r>
      <w:r w:rsidR="00E24A68">
        <w:rPr>
          <w:rFonts w:ascii="Arial" w:hAnsi="Arial" w:cs="Arial"/>
          <w:sz w:val="24"/>
          <w:szCs w:val="24"/>
        </w:rPr>
        <w:t>r</w:t>
      </w:r>
      <w:r w:rsidR="0049007B">
        <w:rPr>
          <w:rFonts w:ascii="Arial" w:hAnsi="Arial" w:cs="Arial"/>
          <w:sz w:val="24"/>
          <w:szCs w:val="24"/>
        </w:rPr>
        <w:t xml:space="preserve">ing people have the </w:t>
      </w:r>
      <w:r w:rsidR="00E24A68">
        <w:rPr>
          <w:rFonts w:ascii="Arial" w:hAnsi="Arial" w:cs="Arial"/>
          <w:sz w:val="24"/>
          <w:szCs w:val="24"/>
        </w:rPr>
        <w:t>right</w:t>
      </w:r>
      <w:r w:rsidR="0049007B">
        <w:rPr>
          <w:rFonts w:ascii="Arial" w:hAnsi="Arial" w:cs="Arial"/>
          <w:sz w:val="24"/>
          <w:szCs w:val="24"/>
        </w:rPr>
        <w:t xml:space="preserve"> response</w:t>
      </w:r>
      <w:r w:rsidR="00E24A68">
        <w:rPr>
          <w:rFonts w:ascii="Arial" w:hAnsi="Arial" w:cs="Arial"/>
          <w:sz w:val="24"/>
          <w:szCs w:val="24"/>
        </w:rPr>
        <w:t xml:space="preserve"> and are able to find appropriate information</w:t>
      </w:r>
      <w:r w:rsidR="0049007B">
        <w:rPr>
          <w:rFonts w:ascii="Arial" w:hAnsi="Arial" w:cs="Arial"/>
          <w:sz w:val="24"/>
          <w:szCs w:val="24"/>
        </w:rPr>
        <w:t xml:space="preserve"> </w:t>
      </w:r>
      <w:r w:rsidR="00E24A68">
        <w:rPr>
          <w:rFonts w:ascii="Arial" w:hAnsi="Arial" w:cs="Arial"/>
          <w:sz w:val="24"/>
          <w:szCs w:val="24"/>
        </w:rPr>
        <w:t xml:space="preserve">when they enquire about adult social care </w:t>
      </w:r>
      <w:r w:rsidR="0049007B">
        <w:rPr>
          <w:rFonts w:ascii="Arial" w:hAnsi="Arial" w:cs="Arial"/>
          <w:sz w:val="24"/>
          <w:szCs w:val="24"/>
        </w:rPr>
        <w:t>is a priority, and a programme of work is underway to improve the options available for people who</w:t>
      </w:r>
      <w:r w:rsidR="00E24A68">
        <w:rPr>
          <w:rFonts w:ascii="Arial" w:hAnsi="Arial" w:cs="Arial"/>
          <w:sz w:val="24"/>
          <w:szCs w:val="24"/>
        </w:rPr>
        <w:t xml:space="preserve"> express a desire for support.</w:t>
      </w:r>
      <w:r w:rsidR="0049007B">
        <w:rPr>
          <w:rFonts w:ascii="Arial" w:hAnsi="Arial" w:cs="Arial"/>
          <w:sz w:val="24"/>
          <w:szCs w:val="24"/>
        </w:rPr>
        <w:t xml:space="preserve">  The website and the </w:t>
      </w:r>
      <w:r w:rsidR="00E24A68">
        <w:rPr>
          <w:rFonts w:ascii="Arial" w:hAnsi="Arial" w:cs="Arial"/>
          <w:sz w:val="24"/>
          <w:szCs w:val="24"/>
        </w:rPr>
        <w:t xml:space="preserve">way </w:t>
      </w:r>
      <w:r w:rsidR="0049007B">
        <w:rPr>
          <w:rFonts w:ascii="Arial" w:hAnsi="Arial" w:cs="Arial"/>
          <w:sz w:val="24"/>
          <w:szCs w:val="24"/>
        </w:rPr>
        <w:t xml:space="preserve">enquiries </w:t>
      </w:r>
      <w:r w:rsidR="00E24A68">
        <w:rPr>
          <w:rFonts w:ascii="Arial" w:hAnsi="Arial" w:cs="Arial"/>
          <w:sz w:val="24"/>
          <w:szCs w:val="24"/>
        </w:rPr>
        <w:t xml:space="preserve">are dealt with </w:t>
      </w:r>
      <w:r w:rsidR="0049007B">
        <w:rPr>
          <w:rFonts w:ascii="Arial" w:hAnsi="Arial" w:cs="Arial"/>
          <w:sz w:val="24"/>
          <w:szCs w:val="24"/>
        </w:rPr>
        <w:t>at the customer services centre are both under review.</w:t>
      </w:r>
      <w:r w:rsidRPr="00C174B0">
        <w:rPr>
          <w:rFonts w:ascii="Arial" w:hAnsi="Arial" w:cs="Arial"/>
          <w:sz w:val="24"/>
          <w:szCs w:val="24"/>
        </w:rPr>
        <w:t xml:space="preserve"> </w:t>
      </w:r>
      <w:r w:rsidR="0049007B">
        <w:rPr>
          <w:rFonts w:ascii="Arial" w:hAnsi="Arial" w:cs="Arial"/>
          <w:sz w:val="24"/>
          <w:szCs w:val="24"/>
        </w:rPr>
        <w:t xml:space="preserve"> </w:t>
      </w:r>
    </w:p>
    <w:p w14:paraId="52B145BD" w14:textId="77777777" w:rsidR="007E5A4C" w:rsidRPr="00C174B0" w:rsidRDefault="007E5A4C" w:rsidP="000A5AB7">
      <w:pPr>
        <w:pStyle w:val="NoSpacing"/>
        <w:jc w:val="both"/>
        <w:rPr>
          <w:rFonts w:ascii="Arial" w:hAnsi="Arial" w:cs="Arial"/>
          <w:sz w:val="24"/>
          <w:szCs w:val="24"/>
        </w:rPr>
      </w:pPr>
    </w:p>
    <w:p w14:paraId="75CD5327" w14:textId="77777777" w:rsidR="007E5A4C" w:rsidRPr="00C174B0" w:rsidRDefault="007E5A4C" w:rsidP="000A5AB7">
      <w:pPr>
        <w:pStyle w:val="NoSpacing"/>
        <w:jc w:val="both"/>
        <w:rPr>
          <w:rFonts w:ascii="Arial" w:hAnsi="Arial" w:cs="Arial"/>
          <w:sz w:val="24"/>
          <w:szCs w:val="24"/>
        </w:rPr>
      </w:pPr>
      <w:r>
        <w:rPr>
          <w:rFonts w:ascii="Arial" w:hAnsi="Arial" w:cs="Arial"/>
          <w:sz w:val="24"/>
          <w:szCs w:val="24"/>
        </w:rPr>
        <w:t>D</w:t>
      </w:r>
      <w:r w:rsidRPr="00C174B0">
        <w:rPr>
          <w:rFonts w:ascii="Arial" w:hAnsi="Arial" w:cs="Arial"/>
          <w:sz w:val="24"/>
          <w:szCs w:val="24"/>
        </w:rPr>
        <w:t>elayed transfer</w:t>
      </w:r>
      <w:r>
        <w:rPr>
          <w:rFonts w:ascii="Arial" w:hAnsi="Arial" w:cs="Arial"/>
          <w:sz w:val="24"/>
          <w:szCs w:val="24"/>
        </w:rPr>
        <w:t>s</w:t>
      </w:r>
      <w:r w:rsidRPr="00C174B0">
        <w:rPr>
          <w:rFonts w:ascii="Arial" w:hAnsi="Arial" w:cs="Arial"/>
          <w:sz w:val="24"/>
          <w:szCs w:val="24"/>
        </w:rPr>
        <w:t xml:space="preserve"> of care from hospital (delayed days) continue to show considerable improvement and Lancashire is on track to maintain levels close to the September 2018 targets recently published for all authorities as part of the Better Care Fund 2018/19 Operational Guidance.  </w:t>
      </w:r>
    </w:p>
    <w:p w14:paraId="60FBE3CC" w14:textId="77777777" w:rsidR="007E5A4C" w:rsidRPr="005612B3" w:rsidRDefault="007E5A4C" w:rsidP="000A5AB7">
      <w:pPr>
        <w:pStyle w:val="NoSpacing"/>
        <w:jc w:val="both"/>
        <w:rPr>
          <w:rFonts w:ascii="Arial" w:hAnsi="Arial" w:cs="Arial"/>
          <w:color w:val="FF0000"/>
          <w:sz w:val="24"/>
          <w:szCs w:val="24"/>
        </w:rPr>
      </w:pPr>
    </w:p>
    <w:p w14:paraId="3A5EE0DA" w14:textId="77777777" w:rsidR="007E5A4C" w:rsidRDefault="007E5A4C" w:rsidP="000A5AB7">
      <w:pPr>
        <w:contextualSpacing/>
        <w:jc w:val="both"/>
        <w:rPr>
          <w:rFonts w:cs="Arial"/>
          <w:szCs w:val="24"/>
        </w:rPr>
      </w:pPr>
      <w:r>
        <w:rPr>
          <w:rFonts w:eastAsiaTheme="minorHAnsi" w:cs="Arial"/>
          <w:i/>
          <w:szCs w:val="24"/>
          <w:lang w:eastAsia="en-US"/>
        </w:rPr>
        <w:t>Quality of services</w:t>
      </w:r>
    </w:p>
    <w:p w14:paraId="64E4D992" w14:textId="77777777" w:rsidR="007E5A4C" w:rsidRPr="00C174B0" w:rsidRDefault="007E5A4C" w:rsidP="000A5AB7">
      <w:pPr>
        <w:pStyle w:val="NoSpacing"/>
        <w:jc w:val="both"/>
        <w:rPr>
          <w:rFonts w:ascii="Arial" w:hAnsi="Arial" w:cs="Arial"/>
          <w:sz w:val="24"/>
          <w:szCs w:val="24"/>
        </w:rPr>
      </w:pPr>
      <w:r w:rsidRPr="00C174B0">
        <w:rPr>
          <w:rFonts w:ascii="Arial" w:hAnsi="Arial" w:cs="Arial"/>
          <w:sz w:val="24"/>
          <w:szCs w:val="24"/>
        </w:rPr>
        <w:t xml:space="preserve">The percentage of care homes being rated good or outstanding continues to improve, and </w:t>
      </w:r>
      <w:r>
        <w:rPr>
          <w:rFonts w:ascii="Arial" w:hAnsi="Arial" w:cs="Arial"/>
          <w:sz w:val="24"/>
          <w:szCs w:val="24"/>
        </w:rPr>
        <w:t>now exceeds</w:t>
      </w:r>
      <w:r w:rsidRPr="00C174B0">
        <w:rPr>
          <w:rFonts w:ascii="Arial" w:hAnsi="Arial" w:cs="Arial"/>
          <w:sz w:val="24"/>
          <w:szCs w:val="24"/>
        </w:rPr>
        <w:t xml:space="preserve"> the national average.</w:t>
      </w:r>
    </w:p>
    <w:p w14:paraId="3A7B8FBB" w14:textId="77777777" w:rsidR="007E5A4C" w:rsidRPr="00C174B0" w:rsidRDefault="007E5A4C" w:rsidP="000A5AB7">
      <w:pPr>
        <w:pStyle w:val="NoSpacing"/>
        <w:jc w:val="both"/>
        <w:rPr>
          <w:rFonts w:ascii="Arial" w:hAnsi="Arial" w:cs="Arial"/>
          <w:sz w:val="24"/>
          <w:szCs w:val="24"/>
        </w:rPr>
      </w:pPr>
    </w:p>
    <w:p w14:paraId="3145BCAC" w14:textId="77777777" w:rsidR="007E5A4C" w:rsidRPr="00C174B0" w:rsidRDefault="007E5A4C" w:rsidP="000A5AB7">
      <w:pPr>
        <w:pStyle w:val="NoSpacing"/>
        <w:jc w:val="both"/>
        <w:rPr>
          <w:rFonts w:ascii="Arial" w:hAnsi="Arial" w:cs="Arial"/>
          <w:sz w:val="24"/>
          <w:szCs w:val="24"/>
        </w:rPr>
      </w:pPr>
      <w:r w:rsidRPr="00C174B0">
        <w:rPr>
          <w:rFonts w:ascii="Arial" w:hAnsi="Arial" w:cs="Arial"/>
          <w:sz w:val="24"/>
          <w:szCs w:val="24"/>
        </w:rPr>
        <w:t>Of the 409 Lancashire care homes rated, 17 are in-house residential services for older people and 82.4% (14) of these were rated good or ou</w:t>
      </w:r>
      <w:r w:rsidR="007C33FA">
        <w:rPr>
          <w:rFonts w:ascii="Arial" w:hAnsi="Arial" w:cs="Arial"/>
          <w:sz w:val="24"/>
          <w:szCs w:val="24"/>
        </w:rPr>
        <w:t>tstanding</w:t>
      </w:r>
      <w:r w:rsidRPr="00C174B0">
        <w:rPr>
          <w:rFonts w:ascii="Arial" w:hAnsi="Arial" w:cs="Arial"/>
          <w:sz w:val="24"/>
          <w:szCs w:val="24"/>
        </w:rPr>
        <w:t xml:space="preserve">.  The other 3 were rated as requires improvement.  Of the 409 care homes rated, 8 are in-house disability short break services and 100% of these were rated good or outstanding. </w:t>
      </w:r>
    </w:p>
    <w:p w14:paraId="5B63CDC0" w14:textId="77777777" w:rsidR="007E5A4C" w:rsidRPr="00C174B0" w:rsidRDefault="007E5A4C" w:rsidP="000A5AB7">
      <w:pPr>
        <w:pStyle w:val="NoSpacing"/>
        <w:jc w:val="both"/>
        <w:rPr>
          <w:rFonts w:ascii="Arial" w:hAnsi="Arial" w:cs="Arial"/>
          <w:sz w:val="24"/>
          <w:szCs w:val="24"/>
        </w:rPr>
      </w:pPr>
    </w:p>
    <w:p w14:paraId="787AF7A1" w14:textId="505EF9F6" w:rsidR="008D2153" w:rsidRDefault="007E5A4C" w:rsidP="000A5AB7">
      <w:pPr>
        <w:pStyle w:val="NoSpacing"/>
        <w:jc w:val="both"/>
        <w:rPr>
          <w:rFonts w:ascii="Arial" w:hAnsi="Arial" w:cs="Arial"/>
          <w:sz w:val="24"/>
          <w:szCs w:val="24"/>
        </w:rPr>
      </w:pPr>
      <w:r w:rsidRPr="00C174B0">
        <w:rPr>
          <w:rFonts w:ascii="Arial" w:hAnsi="Arial" w:cs="Arial"/>
          <w:sz w:val="24"/>
          <w:szCs w:val="24"/>
        </w:rPr>
        <w:t xml:space="preserve">The percentage of community care services rated good or outstanding continues to improve and performance is significantly above the national average.  Of the total 201 community care services rated, 9 services are in-house disability services (8 domiciliary services and 1 shared lives service) and 100% of these were rated good or outstanding. </w:t>
      </w:r>
    </w:p>
    <w:p w14:paraId="5E050FCB" w14:textId="77777777" w:rsidR="003E31F4" w:rsidRDefault="003E31F4" w:rsidP="000A5AB7">
      <w:pPr>
        <w:pStyle w:val="NoSpacing"/>
        <w:jc w:val="both"/>
        <w:rPr>
          <w:rFonts w:ascii="Arial" w:hAnsi="Arial" w:cs="Arial"/>
          <w:sz w:val="24"/>
          <w:szCs w:val="24"/>
        </w:rPr>
      </w:pPr>
    </w:p>
    <w:p w14:paraId="0A859600" w14:textId="77777777" w:rsidR="002C4F7F" w:rsidRDefault="002C4F7F" w:rsidP="000A5AB7">
      <w:pPr>
        <w:pStyle w:val="NoSpacing"/>
        <w:jc w:val="both"/>
        <w:rPr>
          <w:rFonts w:ascii="Arial" w:hAnsi="Arial" w:cs="Arial"/>
          <w:sz w:val="24"/>
          <w:szCs w:val="24"/>
        </w:rPr>
      </w:pPr>
    </w:p>
    <w:p w14:paraId="41D83140" w14:textId="77777777" w:rsidR="002C4F7F" w:rsidRDefault="002C4F7F" w:rsidP="000A5AB7">
      <w:pPr>
        <w:pStyle w:val="NoSpacing"/>
        <w:jc w:val="both"/>
        <w:rPr>
          <w:rFonts w:ascii="Arial" w:hAnsi="Arial" w:cs="Arial"/>
          <w:sz w:val="24"/>
          <w:szCs w:val="24"/>
        </w:rPr>
      </w:pPr>
    </w:p>
    <w:p w14:paraId="1DE64762" w14:textId="77777777" w:rsidR="002C4F7F" w:rsidRDefault="002C4F7F" w:rsidP="000A5AB7">
      <w:pPr>
        <w:pStyle w:val="NoSpacing"/>
        <w:jc w:val="both"/>
        <w:rPr>
          <w:rFonts w:ascii="Arial" w:hAnsi="Arial" w:cs="Arial"/>
          <w:sz w:val="24"/>
          <w:szCs w:val="24"/>
        </w:rPr>
      </w:pPr>
    </w:p>
    <w:p w14:paraId="264D39FE" w14:textId="77777777" w:rsidR="002C4F7F" w:rsidRDefault="002C4F7F" w:rsidP="000A5AB7">
      <w:pPr>
        <w:pStyle w:val="NoSpacing"/>
        <w:jc w:val="both"/>
        <w:rPr>
          <w:rFonts w:ascii="Arial" w:hAnsi="Arial" w:cs="Arial"/>
          <w:sz w:val="24"/>
          <w:szCs w:val="24"/>
        </w:rPr>
      </w:pPr>
    </w:p>
    <w:p w14:paraId="7BB6925F" w14:textId="77777777" w:rsidR="002C4F7F" w:rsidRPr="007E5A4C" w:rsidRDefault="002C4F7F" w:rsidP="000A5AB7">
      <w:pPr>
        <w:pStyle w:val="NoSpacing"/>
        <w:jc w:val="both"/>
        <w:rPr>
          <w:rFonts w:ascii="Arial" w:hAnsi="Arial" w:cs="Arial"/>
          <w:sz w:val="24"/>
          <w:szCs w:val="24"/>
        </w:rPr>
      </w:pPr>
    </w:p>
    <w:tbl>
      <w:tblPr>
        <w:tblW w:w="9923" w:type="dxa"/>
        <w:tblInd w:w="-10" w:type="dxa"/>
        <w:tblLook w:val="04A0" w:firstRow="1" w:lastRow="0" w:firstColumn="1" w:lastColumn="0" w:noHBand="0" w:noVBand="1"/>
      </w:tblPr>
      <w:tblGrid>
        <w:gridCol w:w="2393"/>
        <w:gridCol w:w="888"/>
        <w:gridCol w:w="972"/>
        <w:gridCol w:w="1513"/>
        <w:gridCol w:w="1321"/>
        <w:gridCol w:w="867"/>
        <w:gridCol w:w="867"/>
        <w:gridCol w:w="1102"/>
      </w:tblGrid>
      <w:tr w:rsidR="007F38FB" w:rsidRPr="007B528D" w14:paraId="61E81BB3" w14:textId="77777777" w:rsidTr="00407851">
        <w:trPr>
          <w:trHeight w:val="406"/>
        </w:trPr>
        <w:tc>
          <w:tcPr>
            <w:tcW w:w="2393" w:type="dxa"/>
            <w:tcBorders>
              <w:top w:val="single" w:sz="8" w:space="0" w:color="auto"/>
              <w:left w:val="single" w:sz="8" w:space="0" w:color="auto"/>
              <w:bottom w:val="nil"/>
              <w:right w:val="single" w:sz="8" w:space="0" w:color="auto"/>
            </w:tcBorders>
            <w:shd w:val="clear" w:color="000000" w:fill="F2F2F2"/>
            <w:vAlign w:val="center"/>
            <w:hideMark/>
          </w:tcPr>
          <w:p w14:paraId="1A8ADE7F" w14:textId="77777777" w:rsidR="00247B93" w:rsidRPr="007B528D" w:rsidRDefault="00247B93" w:rsidP="000A5AB7">
            <w:pPr>
              <w:jc w:val="both"/>
              <w:rPr>
                <w:rFonts w:cs="Arial"/>
                <w:b/>
                <w:bCs/>
                <w:color w:val="000000"/>
                <w:sz w:val="18"/>
                <w:szCs w:val="18"/>
              </w:rPr>
            </w:pPr>
            <w:r w:rsidRPr="007B528D">
              <w:rPr>
                <w:rFonts w:cs="Arial"/>
                <w:b/>
                <w:bCs/>
                <w:color w:val="000000"/>
                <w:sz w:val="18"/>
                <w:szCs w:val="18"/>
              </w:rPr>
              <w:lastRenderedPageBreak/>
              <w:t>Performance Measure</w:t>
            </w:r>
          </w:p>
        </w:tc>
        <w:tc>
          <w:tcPr>
            <w:tcW w:w="888" w:type="dxa"/>
            <w:tcBorders>
              <w:top w:val="single" w:sz="8" w:space="0" w:color="auto"/>
              <w:left w:val="nil"/>
              <w:bottom w:val="nil"/>
              <w:right w:val="single" w:sz="8" w:space="0" w:color="auto"/>
            </w:tcBorders>
            <w:shd w:val="clear" w:color="000000" w:fill="F2F2F2"/>
            <w:vAlign w:val="center"/>
            <w:hideMark/>
          </w:tcPr>
          <w:p w14:paraId="5C8664E8" w14:textId="77777777" w:rsidR="00247B93" w:rsidRPr="007B528D" w:rsidRDefault="00247B93" w:rsidP="000A5AB7">
            <w:pPr>
              <w:jc w:val="both"/>
              <w:rPr>
                <w:rFonts w:cs="Arial"/>
                <w:b/>
                <w:bCs/>
                <w:color w:val="000000"/>
                <w:sz w:val="18"/>
                <w:szCs w:val="18"/>
              </w:rPr>
            </w:pPr>
            <w:r w:rsidRPr="007B528D">
              <w:rPr>
                <w:rFonts w:cs="Arial"/>
                <w:b/>
                <w:bCs/>
                <w:color w:val="000000"/>
                <w:sz w:val="18"/>
                <w:szCs w:val="18"/>
              </w:rPr>
              <w:t>Good is High or Low</w:t>
            </w:r>
          </w:p>
        </w:tc>
        <w:tc>
          <w:tcPr>
            <w:tcW w:w="972" w:type="dxa"/>
            <w:tcBorders>
              <w:top w:val="single" w:sz="8" w:space="0" w:color="auto"/>
              <w:left w:val="nil"/>
              <w:bottom w:val="nil"/>
              <w:right w:val="single" w:sz="8" w:space="0" w:color="auto"/>
            </w:tcBorders>
            <w:shd w:val="clear" w:color="000000" w:fill="F2F2F2"/>
            <w:vAlign w:val="center"/>
            <w:hideMark/>
          </w:tcPr>
          <w:p w14:paraId="2ADA1005" w14:textId="77777777" w:rsidR="00247B93" w:rsidRPr="007B528D" w:rsidRDefault="00247B93" w:rsidP="000A5AB7">
            <w:pPr>
              <w:jc w:val="both"/>
              <w:rPr>
                <w:rFonts w:cs="Arial"/>
                <w:b/>
                <w:bCs/>
                <w:color w:val="000000"/>
                <w:sz w:val="18"/>
                <w:szCs w:val="18"/>
              </w:rPr>
            </w:pPr>
            <w:r w:rsidRPr="008956E8">
              <w:rPr>
                <w:rFonts w:cs="Arial"/>
                <w:b/>
                <w:bCs/>
                <w:sz w:val="18"/>
                <w:szCs w:val="18"/>
              </w:rPr>
              <w:t>2016/17</w:t>
            </w:r>
          </w:p>
        </w:tc>
        <w:tc>
          <w:tcPr>
            <w:tcW w:w="1513" w:type="dxa"/>
            <w:tcBorders>
              <w:top w:val="single" w:sz="8" w:space="0" w:color="auto"/>
              <w:left w:val="nil"/>
              <w:bottom w:val="nil"/>
              <w:right w:val="single" w:sz="8" w:space="0" w:color="auto"/>
            </w:tcBorders>
            <w:shd w:val="clear" w:color="000000" w:fill="F2F2F2"/>
            <w:vAlign w:val="center"/>
            <w:hideMark/>
          </w:tcPr>
          <w:p w14:paraId="0AA54D56" w14:textId="77777777" w:rsidR="00247B93" w:rsidRPr="007B528D" w:rsidRDefault="00247B93" w:rsidP="000A5AB7">
            <w:pPr>
              <w:jc w:val="both"/>
              <w:rPr>
                <w:rFonts w:cs="Arial"/>
                <w:b/>
                <w:bCs/>
                <w:color w:val="000000"/>
                <w:sz w:val="18"/>
                <w:szCs w:val="18"/>
              </w:rPr>
            </w:pPr>
            <w:r w:rsidRPr="007B528D">
              <w:rPr>
                <w:rFonts w:cs="Arial"/>
                <w:b/>
                <w:bCs/>
                <w:color w:val="000000"/>
                <w:sz w:val="18"/>
                <w:szCs w:val="18"/>
              </w:rPr>
              <w:t>2017/18</w:t>
            </w:r>
          </w:p>
        </w:tc>
        <w:tc>
          <w:tcPr>
            <w:tcW w:w="1321" w:type="dxa"/>
            <w:tcBorders>
              <w:top w:val="single" w:sz="8" w:space="0" w:color="auto"/>
              <w:left w:val="nil"/>
              <w:bottom w:val="nil"/>
              <w:right w:val="single" w:sz="8" w:space="0" w:color="auto"/>
            </w:tcBorders>
            <w:shd w:val="clear" w:color="000000" w:fill="F2F2F2"/>
            <w:vAlign w:val="center"/>
            <w:hideMark/>
          </w:tcPr>
          <w:p w14:paraId="02949498" w14:textId="77777777" w:rsidR="00247B93" w:rsidRPr="007B528D" w:rsidRDefault="00247B93" w:rsidP="000A5AB7">
            <w:pPr>
              <w:jc w:val="both"/>
              <w:rPr>
                <w:rFonts w:cs="Arial"/>
                <w:b/>
                <w:bCs/>
                <w:color w:val="000000"/>
                <w:sz w:val="18"/>
                <w:szCs w:val="18"/>
              </w:rPr>
            </w:pPr>
            <w:r w:rsidRPr="007B528D">
              <w:rPr>
                <w:rFonts w:cs="Arial"/>
                <w:b/>
                <w:bCs/>
                <w:color w:val="000000"/>
                <w:sz w:val="18"/>
                <w:szCs w:val="18"/>
              </w:rPr>
              <w:t>Q1 2018/19</w:t>
            </w:r>
          </w:p>
        </w:tc>
        <w:tc>
          <w:tcPr>
            <w:tcW w:w="867" w:type="dxa"/>
            <w:tcBorders>
              <w:top w:val="single" w:sz="8" w:space="0" w:color="auto"/>
              <w:left w:val="nil"/>
              <w:bottom w:val="nil"/>
              <w:right w:val="single" w:sz="4" w:space="0" w:color="auto"/>
            </w:tcBorders>
            <w:shd w:val="clear" w:color="000000" w:fill="F2F2F2"/>
            <w:vAlign w:val="center"/>
          </w:tcPr>
          <w:p w14:paraId="19152F1D" w14:textId="77777777" w:rsidR="00247B93" w:rsidRPr="007B528D" w:rsidRDefault="00247B93" w:rsidP="000A5AB7">
            <w:pPr>
              <w:jc w:val="both"/>
              <w:rPr>
                <w:rFonts w:cs="Arial"/>
                <w:b/>
                <w:bCs/>
                <w:color w:val="000000"/>
                <w:sz w:val="18"/>
                <w:szCs w:val="18"/>
              </w:rPr>
            </w:pPr>
            <w:r w:rsidRPr="002F730F">
              <w:rPr>
                <w:rFonts w:cs="Arial"/>
                <w:b/>
                <w:bCs/>
                <w:sz w:val="18"/>
                <w:szCs w:val="18"/>
              </w:rPr>
              <w:t>Q2 2018/19</w:t>
            </w:r>
          </w:p>
        </w:tc>
        <w:tc>
          <w:tcPr>
            <w:tcW w:w="867" w:type="dxa"/>
            <w:tcBorders>
              <w:top w:val="single" w:sz="8" w:space="0" w:color="auto"/>
              <w:left w:val="single" w:sz="4" w:space="0" w:color="auto"/>
              <w:bottom w:val="nil"/>
              <w:right w:val="single" w:sz="4" w:space="0" w:color="auto"/>
            </w:tcBorders>
            <w:shd w:val="clear" w:color="000000" w:fill="F2F2F2"/>
            <w:vAlign w:val="center"/>
          </w:tcPr>
          <w:p w14:paraId="5CBD1F3D" w14:textId="77777777" w:rsidR="008956E8" w:rsidRPr="009F6AEC" w:rsidRDefault="008956E8" w:rsidP="000A5AB7">
            <w:pPr>
              <w:jc w:val="both"/>
              <w:rPr>
                <w:rFonts w:cs="Arial"/>
                <w:b/>
                <w:bCs/>
                <w:sz w:val="18"/>
                <w:szCs w:val="18"/>
              </w:rPr>
            </w:pPr>
            <w:r w:rsidRPr="009F6AEC">
              <w:rPr>
                <w:rFonts w:cs="Arial"/>
                <w:b/>
                <w:bCs/>
                <w:sz w:val="18"/>
                <w:szCs w:val="18"/>
              </w:rPr>
              <w:t>Q3</w:t>
            </w:r>
          </w:p>
          <w:p w14:paraId="5E643E60" w14:textId="77777777" w:rsidR="00247B93" w:rsidRPr="008956E8" w:rsidRDefault="00247B93" w:rsidP="000A5AB7">
            <w:pPr>
              <w:jc w:val="both"/>
              <w:rPr>
                <w:rFonts w:cs="Arial"/>
                <w:b/>
                <w:bCs/>
                <w:color w:val="FF0000"/>
                <w:sz w:val="18"/>
                <w:szCs w:val="18"/>
              </w:rPr>
            </w:pPr>
            <w:r w:rsidRPr="009F6AEC">
              <w:rPr>
                <w:rFonts w:cs="Arial"/>
                <w:b/>
                <w:bCs/>
                <w:sz w:val="18"/>
                <w:szCs w:val="18"/>
              </w:rPr>
              <w:t>2018/19</w:t>
            </w:r>
          </w:p>
        </w:tc>
        <w:tc>
          <w:tcPr>
            <w:tcW w:w="1102" w:type="dxa"/>
            <w:tcBorders>
              <w:top w:val="single" w:sz="8" w:space="0" w:color="auto"/>
              <w:left w:val="single" w:sz="4" w:space="0" w:color="auto"/>
              <w:bottom w:val="nil"/>
              <w:right w:val="single" w:sz="8" w:space="0" w:color="auto"/>
            </w:tcBorders>
            <w:shd w:val="clear" w:color="000000" w:fill="F2F2F2"/>
            <w:vAlign w:val="center"/>
            <w:hideMark/>
          </w:tcPr>
          <w:p w14:paraId="46B9D333" w14:textId="77777777" w:rsidR="00247B93" w:rsidRPr="009F6AEC" w:rsidRDefault="00247B93" w:rsidP="000A5AB7">
            <w:pPr>
              <w:jc w:val="both"/>
              <w:rPr>
                <w:rFonts w:cs="Arial"/>
                <w:b/>
                <w:bCs/>
                <w:sz w:val="18"/>
                <w:szCs w:val="18"/>
              </w:rPr>
            </w:pPr>
            <w:r w:rsidRPr="009F6AEC">
              <w:rPr>
                <w:rFonts w:cs="Arial"/>
                <w:b/>
                <w:bCs/>
                <w:sz w:val="18"/>
                <w:szCs w:val="18"/>
              </w:rPr>
              <w:t>England Average</w:t>
            </w:r>
          </w:p>
        </w:tc>
      </w:tr>
      <w:tr w:rsidR="008956E8" w:rsidRPr="007B528D" w14:paraId="3E56EDC9" w14:textId="77777777" w:rsidTr="00407851">
        <w:trPr>
          <w:trHeight w:val="60"/>
        </w:trPr>
        <w:tc>
          <w:tcPr>
            <w:tcW w:w="9923" w:type="dxa"/>
            <w:gridSpan w:val="8"/>
            <w:tcBorders>
              <w:top w:val="single" w:sz="8" w:space="0" w:color="auto"/>
              <w:left w:val="single" w:sz="8" w:space="0" w:color="auto"/>
              <w:bottom w:val="single" w:sz="8" w:space="0" w:color="auto"/>
              <w:right w:val="single" w:sz="8" w:space="0" w:color="000000"/>
            </w:tcBorders>
            <w:shd w:val="clear" w:color="000000" w:fill="F2F2F2"/>
          </w:tcPr>
          <w:p w14:paraId="207B8981" w14:textId="77777777" w:rsidR="008956E8" w:rsidRPr="009F6AEC" w:rsidRDefault="008956E8" w:rsidP="000A5AB7">
            <w:pPr>
              <w:jc w:val="both"/>
              <w:rPr>
                <w:rFonts w:cs="Arial"/>
                <w:b/>
                <w:bCs/>
                <w:sz w:val="18"/>
                <w:szCs w:val="18"/>
              </w:rPr>
            </w:pPr>
            <w:r w:rsidRPr="009F6AEC">
              <w:rPr>
                <w:rFonts w:cs="Arial"/>
                <w:b/>
                <w:bCs/>
                <w:sz w:val="18"/>
                <w:szCs w:val="18"/>
              </w:rPr>
              <w:t>Health Checks</w:t>
            </w:r>
          </w:p>
        </w:tc>
      </w:tr>
      <w:tr w:rsidR="007F38FB" w:rsidRPr="007B528D" w14:paraId="5EBDCDA9" w14:textId="77777777" w:rsidTr="00237F19">
        <w:trPr>
          <w:trHeight w:val="60"/>
        </w:trPr>
        <w:tc>
          <w:tcPr>
            <w:tcW w:w="2393" w:type="dxa"/>
            <w:tcBorders>
              <w:top w:val="nil"/>
              <w:left w:val="single" w:sz="8" w:space="0" w:color="auto"/>
              <w:bottom w:val="single" w:sz="4" w:space="0" w:color="auto"/>
              <w:right w:val="single" w:sz="8" w:space="0" w:color="auto"/>
            </w:tcBorders>
            <w:shd w:val="clear" w:color="auto" w:fill="auto"/>
            <w:vAlign w:val="center"/>
            <w:hideMark/>
          </w:tcPr>
          <w:p w14:paraId="27ECFC48" w14:textId="77777777" w:rsidR="00247B93" w:rsidRPr="007B528D" w:rsidRDefault="00247B93" w:rsidP="000A5AB7">
            <w:pPr>
              <w:jc w:val="both"/>
              <w:rPr>
                <w:rFonts w:cs="Arial"/>
                <w:color w:val="000000"/>
                <w:sz w:val="18"/>
                <w:szCs w:val="18"/>
              </w:rPr>
            </w:pPr>
            <w:r w:rsidRPr="007B528D">
              <w:rPr>
                <w:rFonts w:cs="Arial"/>
                <w:color w:val="000000"/>
                <w:sz w:val="18"/>
                <w:szCs w:val="18"/>
              </w:rPr>
              <w:t>Number of NHS Health Checks offered to eligible population</w:t>
            </w:r>
          </w:p>
        </w:tc>
        <w:tc>
          <w:tcPr>
            <w:tcW w:w="888" w:type="dxa"/>
            <w:tcBorders>
              <w:top w:val="nil"/>
              <w:left w:val="nil"/>
              <w:bottom w:val="single" w:sz="4" w:space="0" w:color="auto"/>
              <w:right w:val="single" w:sz="8" w:space="0" w:color="auto"/>
            </w:tcBorders>
            <w:shd w:val="clear" w:color="auto" w:fill="auto"/>
            <w:vAlign w:val="center"/>
            <w:hideMark/>
          </w:tcPr>
          <w:p w14:paraId="49971BD7" w14:textId="77777777" w:rsidR="00247B93" w:rsidRPr="007B528D" w:rsidRDefault="00247B93" w:rsidP="000A5AB7">
            <w:pPr>
              <w:jc w:val="both"/>
              <w:rPr>
                <w:rFonts w:cs="Arial"/>
                <w:color w:val="000000"/>
                <w:sz w:val="18"/>
                <w:szCs w:val="18"/>
              </w:rPr>
            </w:pPr>
            <w:r w:rsidRPr="007B528D">
              <w:rPr>
                <w:rFonts w:cs="Arial"/>
                <w:color w:val="000000"/>
                <w:sz w:val="18"/>
                <w:szCs w:val="18"/>
              </w:rPr>
              <w:t>H</w:t>
            </w:r>
          </w:p>
        </w:tc>
        <w:tc>
          <w:tcPr>
            <w:tcW w:w="972" w:type="dxa"/>
            <w:tcBorders>
              <w:top w:val="nil"/>
              <w:left w:val="nil"/>
              <w:bottom w:val="single" w:sz="4" w:space="0" w:color="auto"/>
              <w:right w:val="single" w:sz="8" w:space="0" w:color="auto"/>
            </w:tcBorders>
            <w:shd w:val="clear" w:color="auto" w:fill="auto"/>
            <w:vAlign w:val="center"/>
            <w:hideMark/>
          </w:tcPr>
          <w:p w14:paraId="4513DE19" w14:textId="77777777" w:rsidR="00247B93" w:rsidRPr="008956E8" w:rsidRDefault="00247B93" w:rsidP="000A5AB7">
            <w:pPr>
              <w:jc w:val="both"/>
              <w:rPr>
                <w:rFonts w:cs="Arial"/>
                <w:sz w:val="18"/>
                <w:szCs w:val="18"/>
              </w:rPr>
            </w:pPr>
            <w:r w:rsidRPr="008956E8">
              <w:rPr>
                <w:rFonts w:cs="Arial"/>
                <w:sz w:val="18"/>
                <w:szCs w:val="18"/>
              </w:rPr>
              <w:t>75,892</w:t>
            </w:r>
          </w:p>
        </w:tc>
        <w:tc>
          <w:tcPr>
            <w:tcW w:w="1513" w:type="dxa"/>
            <w:tcBorders>
              <w:top w:val="nil"/>
              <w:left w:val="nil"/>
              <w:bottom w:val="single" w:sz="4" w:space="0" w:color="auto"/>
              <w:right w:val="single" w:sz="8" w:space="0" w:color="auto"/>
            </w:tcBorders>
            <w:shd w:val="clear" w:color="auto" w:fill="auto"/>
            <w:vAlign w:val="center"/>
            <w:hideMark/>
          </w:tcPr>
          <w:p w14:paraId="263C3A81" w14:textId="77777777" w:rsidR="00247B93" w:rsidRPr="007B528D" w:rsidRDefault="00247B93" w:rsidP="000A5AB7">
            <w:pPr>
              <w:jc w:val="both"/>
              <w:rPr>
                <w:rFonts w:cs="Arial"/>
                <w:color w:val="000000"/>
                <w:sz w:val="18"/>
                <w:szCs w:val="18"/>
              </w:rPr>
            </w:pPr>
            <w:r w:rsidRPr="007B528D">
              <w:rPr>
                <w:rFonts w:cs="Arial"/>
                <w:color w:val="000000"/>
                <w:sz w:val="18"/>
                <w:szCs w:val="18"/>
              </w:rPr>
              <w:t>96,920</w:t>
            </w:r>
          </w:p>
        </w:tc>
        <w:tc>
          <w:tcPr>
            <w:tcW w:w="1321" w:type="dxa"/>
            <w:tcBorders>
              <w:top w:val="nil"/>
              <w:left w:val="nil"/>
              <w:bottom w:val="single" w:sz="4" w:space="0" w:color="auto"/>
              <w:right w:val="single" w:sz="8" w:space="0" w:color="auto"/>
            </w:tcBorders>
            <w:shd w:val="clear" w:color="auto" w:fill="auto"/>
            <w:vAlign w:val="center"/>
            <w:hideMark/>
          </w:tcPr>
          <w:p w14:paraId="6F9D1D09" w14:textId="77777777" w:rsidR="00247B93" w:rsidRPr="007B528D" w:rsidRDefault="00247B93" w:rsidP="000A5AB7">
            <w:pPr>
              <w:jc w:val="both"/>
              <w:rPr>
                <w:rFonts w:cs="Arial"/>
                <w:color w:val="000000"/>
                <w:sz w:val="18"/>
                <w:szCs w:val="18"/>
              </w:rPr>
            </w:pPr>
            <w:r>
              <w:rPr>
                <w:rFonts w:cs="Arial"/>
                <w:color w:val="000000"/>
                <w:sz w:val="18"/>
                <w:szCs w:val="18"/>
              </w:rPr>
              <w:t>29,348</w:t>
            </w:r>
          </w:p>
        </w:tc>
        <w:tc>
          <w:tcPr>
            <w:tcW w:w="867" w:type="dxa"/>
            <w:tcBorders>
              <w:top w:val="nil"/>
              <w:left w:val="nil"/>
              <w:bottom w:val="single" w:sz="4" w:space="0" w:color="auto"/>
              <w:right w:val="single" w:sz="8" w:space="0" w:color="auto"/>
            </w:tcBorders>
            <w:shd w:val="clear" w:color="auto" w:fill="auto"/>
            <w:vAlign w:val="center"/>
          </w:tcPr>
          <w:p w14:paraId="796FC89E" w14:textId="77777777" w:rsidR="00247B93" w:rsidRPr="007B528D" w:rsidRDefault="00247B93" w:rsidP="000A5AB7">
            <w:pPr>
              <w:jc w:val="both"/>
              <w:rPr>
                <w:rFonts w:cs="Arial"/>
                <w:color w:val="000000"/>
                <w:sz w:val="18"/>
                <w:szCs w:val="18"/>
              </w:rPr>
            </w:pPr>
            <w:r>
              <w:rPr>
                <w:rFonts w:cs="Arial"/>
                <w:color w:val="000000"/>
                <w:sz w:val="18"/>
                <w:szCs w:val="18"/>
              </w:rPr>
              <w:t>26,286</w:t>
            </w:r>
          </w:p>
        </w:tc>
        <w:tc>
          <w:tcPr>
            <w:tcW w:w="867" w:type="dxa"/>
            <w:tcBorders>
              <w:top w:val="nil"/>
              <w:left w:val="single" w:sz="4" w:space="0" w:color="auto"/>
              <w:bottom w:val="single" w:sz="4" w:space="0" w:color="auto"/>
              <w:right w:val="single" w:sz="4" w:space="0" w:color="auto"/>
            </w:tcBorders>
            <w:shd w:val="clear" w:color="auto" w:fill="F7CAAC" w:themeFill="accent2" w:themeFillTint="66"/>
            <w:vAlign w:val="center"/>
          </w:tcPr>
          <w:p w14:paraId="50705A65" w14:textId="77777777" w:rsidR="009F6AEC" w:rsidRPr="009F6AEC" w:rsidRDefault="009F6AEC" w:rsidP="000A5AB7">
            <w:pPr>
              <w:jc w:val="both"/>
              <w:rPr>
                <w:rFonts w:cs="Arial"/>
                <w:sz w:val="18"/>
                <w:szCs w:val="18"/>
              </w:rPr>
            </w:pPr>
            <w:r w:rsidRPr="009F6AEC">
              <w:rPr>
                <w:rFonts w:cs="Arial"/>
                <w:sz w:val="18"/>
                <w:szCs w:val="18"/>
              </w:rPr>
              <w:t>24,517</w:t>
            </w:r>
          </w:p>
        </w:tc>
        <w:tc>
          <w:tcPr>
            <w:tcW w:w="1102" w:type="dxa"/>
            <w:tcBorders>
              <w:top w:val="nil"/>
              <w:left w:val="single" w:sz="4" w:space="0" w:color="auto"/>
              <w:bottom w:val="single" w:sz="4" w:space="0" w:color="auto"/>
              <w:right w:val="single" w:sz="8" w:space="0" w:color="auto"/>
            </w:tcBorders>
            <w:shd w:val="clear" w:color="auto" w:fill="auto"/>
            <w:vAlign w:val="center"/>
            <w:hideMark/>
          </w:tcPr>
          <w:p w14:paraId="0148BE6B" w14:textId="77777777" w:rsidR="00247B93" w:rsidRPr="009F6AEC" w:rsidRDefault="00247B93" w:rsidP="000A5AB7">
            <w:pPr>
              <w:jc w:val="both"/>
              <w:rPr>
                <w:rFonts w:cs="Arial"/>
                <w:sz w:val="18"/>
                <w:szCs w:val="18"/>
              </w:rPr>
            </w:pPr>
            <w:r w:rsidRPr="009F6AEC">
              <w:rPr>
                <w:rFonts w:cs="Arial"/>
                <w:sz w:val="18"/>
                <w:szCs w:val="18"/>
              </w:rPr>
              <w:t>-</w:t>
            </w:r>
          </w:p>
        </w:tc>
      </w:tr>
      <w:tr w:rsidR="007F38FB" w:rsidRPr="007B528D" w14:paraId="135AA790" w14:textId="77777777" w:rsidTr="00237F19">
        <w:trPr>
          <w:trHeight w:val="60"/>
        </w:trPr>
        <w:tc>
          <w:tcPr>
            <w:tcW w:w="239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287AE7A" w14:textId="77777777" w:rsidR="00247B93" w:rsidRPr="007B528D" w:rsidRDefault="00247B93" w:rsidP="000A5AB7">
            <w:pPr>
              <w:jc w:val="both"/>
              <w:rPr>
                <w:rFonts w:cs="Arial"/>
                <w:color w:val="000000"/>
                <w:sz w:val="18"/>
                <w:szCs w:val="18"/>
              </w:rPr>
            </w:pPr>
            <w:r w:rsidRPr="007B528D">
              <w:rPr>
                <w:rFonts w:cs="Arial"/>
                <w:color w:val="000000"/>
                <w:sz w:val="18"/>
                <w:szCs w:val="18"/>
              </w:rPr>
              <w:t>Number of NHS Health Checks completed</w:t>
            </w:r>
          </w:p>
        </w:tc>
        <w:tc>
          <w:tcPr>
            <w:tcW w:w="888" w:type="dxa"/>
            <w:tcBorders>
              <w:top w:val="single" w:sz="4" w:space="0" w:color="auto"/>
              <w:left w:val="nil"/>
              <w:bottom w:val="single" w:sz="4" w:space="0" w:color="auto"/>
              <w:right w:val="single" w:sz="8" w:space="0" w:color="auto"/>
            </w:tcBorders>
            <w:shd w:val="clear" w:color="auto" w:fill="auto"/>
            <w:vAlign w:val="center"/>
            <w:hideMark/>
          </w:tcPr>
          <w:p w14:paraId="1A3D5AB6" w14:textId="77777777" w:rsidR="00247B93" w:rsidRPr="007B528D" w:rsidRDefault="00247B93" w:rsidP="000A5AB7">
            <w:pPr>
              <w:jc w:val="both"/>
              <w:rPr>
                <w:rFonts w:cs="Arial"/>
                <w:color w:val="000000"/>
                <w:sz w:val="18"/>
                <w:szCs w:val="18"/>
              </w:rPr>
            </w:pPr>
            <w:r w:rsidRPr="007B528D">
              <w:rPr>
                <w:rFonts w:cs="Arial"/>
                <w:color w:val="000000"/>
                <w:sz w:val="18"/>
                <w:szCs w:val="18"/>
              </w:rPr>
              <w:t>H</w:t>
            </w:r>
          </w:p>
        </w:tc>
        <w:tc>
          <w:tcPr>
            <w:tcW w:w="972" w:type="dxa"/>
            <w:tcBorders>
              <w:top w:val="single" w:sz="4" w:space="0" w:color="auto"/>
              <w:left w:val="nil"/>
              <w:bottom w:val="single" w:sz="4" w:space="0" w:color="auto"/>
              <w:right w:val="single" w:sz="8" w:space="0" w:color="auto"/>
            </w:tcBorders>
            <w:shd w:val="clear" w:color="auto" w:fill="auto"/>
            <w:vAlign w:val="center"/>
            <w:hideMark/>
          </w:tcPr>
          <w:p w14:paraId="3ECDAA2B" w14:textId="77777777" w:rsidR="00247B93" w:rsidRPr="008956E8" w:rsidRDefault="00247B93" w:rsidP="000A5AB7">
            <w:pPr>
              <w:jc w:val="both"/>
              <w:rPr>
                <w:rFonts w:cs="Arial"/>
                <w:sz w:val="18"/>
                <w:szCs w:val="18"/>
              </w:rPr>
            </w:pPr>
            <w:r w:rsidRPr="008956E8">
              <w:rPr>
                <w:rFonts w:cs="Arial"/>
                <w:sz w:val="18"/>
                <w:szCs w:val="18"/>
              </w:rPr>
              <w:t>47,107</w:t>
            </w:r>
          </w:p>
        </w:tc>
        <w:tc>
          <w:tcPr>
            <w:tcW w:w="1513" w:type="dxa"/>
            <w:tcBorders>
              <w:top w:val="single" w:sz="4" w:space="0" w:color="auto"/>
              <w:left w:val="nil"/>
              <w:bottom w:val="single" w:sz="4" w:space="0" w:color="auto"/>
              <w:right w:val="single" w:sz="8" w:space="0" w:color="auto"/>
            </w:tcBorders>
            <w:shd w:val="clear" w:color="auto" w:fill="auto"/>
            <w:vAlign w:val="center"/>
            <w:hideMark/>
          </w:tcPr>
          <w:p w14:paraId="73061A58" w14:textId="77777777" w:rsidR="00247B93" w:rsidRPr="007B528D" w:rsidRDefault="00247B93" w:rsidP="000A5AB7">
            <w:pPr>
              <w:jc w:val="both"/>
              <w:rPr>
                <w:rFonts w:cs="Arial"/>
                <w:color w:val="000000"/>
                <w:sz w:val="18"/>
                <w:szCs w:val="18"/>
              </w:rPr>
            </w:pPr>
            <w:r w:rsidRPr="007B528D">
              <w:rPr>
                <w:rFonts w:cs="Arial"/>
                <w:color w:val="000000"/>
                <w:sz w:val="18"/>
                <w:szCs w:val="18"/>
              </w:rPr>
              <w:t>51,486</w:t>
            </w:r>
          </w:p>
        </w:tc>
        <w:tc>
          <w:tcPr>
            <w:tcW w:w="1321" w:type="dxa"/>
            <w:tcBorders>
              <w:top w:val="single" w:sz="4" w:space="0" w:color="auto"/>
              <w:left w:val="nil"/>
              <w:bottom w:val="single" w:sz="4" w:space="0" w:color="auto"/>
              <w:right w:val="single" w:sz="8" w:space="0" w:color="auto"/>
            </w:tcBorders>
            <w:shd w:val="clear" w:color="auto" w:fill="auto"/>
            <w:vAlign w:val="center"/>
            <w:hideMark/>
          </w:tcPr>
          <w:p w14:paraId="4C2DA34B" w14:textId="77777777" w:rsidR="00247B93" w:rsidRPr="007B528D" w:rsidRDefault="00247B93" w:rsidP="000A5AB7">
            <w:pPr>
              <w:jc w:val="both"/>
              <w:rPr>
                <w:rFonts w:cs="Arial"/>
                <w:color w:val="000000"/>
                <w:sz w:val="18"/>
                <w:szCs w:val="18"/>
              </w:rPr>
            </w:pPr>
            <w:r>
              <w:rPr>
                <w:rFonts w:cs="Arial"/>
                <w:color w:val="000000"/>
                <w:sz w:val="18"/>
                <w:szCs w:val="18"/>
              </w:rPr>
              <w:t>11,928</w:t>
            </w:r>
          </w:p>
        </w:tc>
        <w:tc>
          <w:tcPr>
            <w:tcW w:w="867" w:type="dxa"/>
            <w:tcBorders>
              <w:top w:val="single" w:sz="4" w:space="0" w:color="auto"/>
              <w:left w:val="nil"/>
              <w:bottom w:val="single" w:sz="4" w:space="0" w:color="auto"/>
              <w:right w:val="single" w:sz="8" w:space="0" w:color="auto"/>
            </w:tcBorders>
            <w:shd w:val="clear" w:color="auto" w:fill="auto"/>
            <w:vAlign w:val="center"/>
          </w:tcPr>
          <w:p w14:paraId="0DDE61DF" w14:textId="77777777" w:rsidR="00247B93" w:rsidRPr="007B528D" w:rsidRDefault="00247B93" w:rsidP="000A5AB7">
            <w:pPr>
              <w:jc w:val="both"/>
              <w:rPr>
                <w:rFonts w:cs="Arial"/>
                <w:color w:val="000000"/>
                <w:sz w:val="18"/>
                <w:szCs w:val="18"/>
              </w:rPr>
            </w:pPr>
            <w:r>
              <w:rPr>
                <w:rFonts w:cs="Arial"/>
                <w:color w:val="000000"/>
                <w:sz w:val="18"/>
                <w:szCs w:val="18"/>
              </w:rPr>
              <w:t>12,827</w:t>
            </w:r>
          </w:p>
        </w:tc>
        <w:tc>
          <w:tcPr>
            <w:tcW w:w="86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75D5186" w14:textId="77777777" w:rsidR="00247B93" w:rsidRPr="009F6AEC" w:rsidRDefault="009F6AEC" w:rsidP="000A5AB7">
            <w:pPr>
              <w:jc w:val="both"/>
              <w:rPr>
                <w:rFonts w:cs="Arial"/>
                <w:sz w:val="18"/>
                <w:szCs w:val="18"/>
              </w:rPr>
            </w:pPr>
            <w:r w:rsidRPr="009F6AEC">
              <w:rPr>
                <w:rFonts w:cs="Arial"/>
                <w:sz w:val="18"/>
                <w:szCs w:val="18"/>
              </w:rPr>
              <w:t>14,274</w:t>
            </w:r>
          </w:p>
        </w:tc>
        <w:tc>
          <w:tcPr>
            <w:tcW w:w="11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20D4D48" w14:textId="77777777" w:rsidR="00247B93" w:rsidRPr="009F6AEC" w:rsidRDefault="00247B93" w:rsidP="000A5AB7">
            <w:pPr>
              <w:jc w:val="both"/>
              <w:rPr>
                <w:rFonts w:cs="Arial"/>
                <w:sz w:val="18"/>
                <w:szCs w:val="18"/>
              </w:rPr>
            </w:pPr>
            <w:r w:rsidRPr="009F6AEC">
              <w:rPr>
                <w:rFonts w:cs="Arial"/>
                <w:sz w:val="18"/>
                <w:szCs w:val="18"/>
              </w:rPr>
              <w:t>-</w:t>
            </w:r>
          </w:p>
        </w:tc>
      </w:tr>
      <w:tr w:rsidR="007F38FB" w:rsidRPr="002E0A46" w14:paraId="73D90438" w14:textId="77777777" w:rsidTr="00237F19">
        <w:trPr>
          <w:trHeight w:val="60"/>
        </w:trPr>
        <w:tc>
          <w:tcPr>
            <w:tcW w:w="239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7DB0214" w14:textId="77777777" w:rsidR="00247B93" w:rsidRPr="007B528D" w:rsidRDefault="00247B93" w:rsidP="000A5AB7">
            <w:pPr>
              <w:jc w:val="both"/>
              <w:rPr>
                <w:rFonts w:cs="Arial"/>
                <w:color w:val="000000"/>
                <w:sz w:val="18"/>
                <w:szCs w:val="18"/>
              </w:rPr>
            </w:pPr>
            <w:r w:rsidRPr="007B528D">
              <w:rPr>
                <w:rFonts w:cs="Arial"/>
                <w:color w:val="000000"/>
                <w:sz w:val="18"/>
                <w:szCs w:val="18"/>
              </w:rPr>
              <w:t>% completed of NHS He</w:t>
            </w:r>
            <w:r>
              <w:rPr>
                <w:rFonts w:cs="Arial"/>
                <w:color w:val="000000"/>
                <w:sz w:val="18"/>
                <w:szCs w:val="18"/>
              </w:rPr>
              <w:t xml:space="preserve">alth Checks offered </w:t>
            </w:r>
          </w:p>
        </w:tc>
        <w:tc>
          <w:tcPr>
            <w:tcW w:w="888" w:type="dxa"/>
            <w:tcBorders>
              <w:top w:val="single" w:sz="4" w:space="0" w:color="auto"/>
              <w:left w:val="nil"/>
              <w:bottom w:val="single" w:sz="8" w:space="0" w:color="auto"/>
              <w:right w:val="single" w:sz="8" w:space="0" w:color="auto"/>
            </w:tcBorders>
            <w:shd w:val="clear" w:color="auto" w:fill="auto"/>
            <w:vAlign w:val="center"/>
            <w:hideMark/>
          </w:tcPr>
          <w:p w14:paraId="47EB66AC" w14:textId="77777777" w:rsidR="00247B93" w:rsidRPr="007B528D" w:rsidRDefault="00247B93" w:rsidP="000A5AB7">
            <w:pPr>
              <w:jc w:val="both"/>
              <w:rPr>
                <w:rFonts w:cs="Arial"/>
                <w:color w:val="000000"/>
                <w:sz w:val="18"/>
                <w:szCs w:val="18"/>
              </w:rPr>
            </w:pPr>
            <w:r w:rsidRPr="007B528D">
              <w:rPr>
                <w:rFonts w:cs="Arial"/>
                <w:color w:val="000000"/>
                <w:sz w:val="18"/>
                <w:szCs w:val="18"/>
              </w:rPr>
              <w:t>H</w:t>
            </w:r>
          </w:p>
        </w:tc>
        <w:tc>
          <w:tcPr>
            <w:tcW w:w="972" w:type="dxa"/>
            <w:tcBorders>
              <w:top w:val="single" w:sz="4" w:space="0" w:color="auto"/>
              <w:left w:val="nil"/>
              <w:bottom w:val="single" w:sz="8" w:space="0" w:color="auto"/>
              <w:right w:val="single" w:sz="8" w:space="0" w:color="auto"/>
            </w:tcBorders>
            <w:shd w:val="clear" w:color="auto" w:fill="auto"/>
            <w:vAlign w:val="center"/>
            <w:hideMark/>
          </w:tcPr>
          <w:p w14:paraId="2CCEB12C" w14:textId="77777777" w:rsidR="00247B93" w:rsidRPr="008956E8" w:rsidRDefault="00247B93" w:rsidP="000A5AB7">
            <w:pPr>
              <w:jc w:val="both"/>
              <w:rPr>
                <w:rFonts w:cs="Arial"/>
                <w:sz w:val="18"/>
                <w:szCs w:val="18"/>
              </w:rPr>
            </w:pPr>
            <w:r w:rsidRPr="008956E8">
              <w:rPr>
                <w:rFonts w:cs="Arial"/>
                <w:sz w:val="18"/>
                <w:szCs w:val="18"/>
              </w:rPr>
              <w:t>62.1%</w:t>
            </w:r>
          </w:p>
        </w:tc>
        <w:tc>
          <w:tcPr>
            <w:tcW w:w="1513" w:type="dxa"/>
            <w:tcBorders>
              <w:top w:val="single" w:sz="4" w:space="0" w:color="auto"/>
              <w:left w:val="nil"/>
              <w:bottom w:val="single" w:sz="8" w:space="0" w:color="auto"/>
              <w:right w:val="single" w:sz="8" w:space="0" w:color="auto"/>
            </w:tcBorders>
            <w:shd w:val="clear" w:color="auto" w:fill="auto"/>
            <w:vAlign w:val="center"/>
            <w:hideMark/>
          </w:tcPr>
          <w:p w14:paraId="106FB2EA" w14:textId="77777777" w:rsidR="00247B93" w:rsidRPr="007B528D" w:rsidRDefault="00247B93" w:rsidP="000A5AB7">
            <w:pPr>
              <w:jc w:val="both"/>
              <w:rPr>
                <w:rFonts w:cs="Arial"/>
                <w:color w:val="000000"/>
                <w:sz w:val="18"/>
                <w:szCs w:val="18"/>
              </w:rPr>
            </w:pPr>
            <w:r>
              <w:rPr>
                <w:rFonts w:cs="Arial"/>
                <w:color w:val="000000"/>
                <w:sz w:val="18"/>
                <w:szCs w:val="18"/>
              </w:rPr>
              <w:t>53.1</w:t>
            </w:r>
            <w:r w:rsidRPr="007B528D">
              <w:rPr>
                <w:rFonts w:cs="Arial"/>
                <w:color w:val="000000"/>
                <w:sz w:val="18"/>
                <w:szCs w:val="18"/>
              </w:rPr>
              <w:t>%</w:t>
            </w:r>
          </w:p>
        </w:tc>
        <w:tc>
          <w:tcPr>
            <w:tcW w:w="1321" w:type="dxa"/>
            <w:tcBorders>
              <w:top w:val="single" w:sz="4" w:space="0" w:color="auto"/>
              <w:left w:val="nil"/>
              <w:bottom w:val="single" w:sz="8" w:space="0" w:color="auto"/>
              <w:right w:val="single" w:sz="8" w:space="0" w:color="auto"/>
            </w:tcBorders>
            <w:shd w:val="clear" w:color="auto" w:fill="auto"/>
            <w:vAlign w:val="center"/>
            <w:hideMark/>
          </w:tcPr>
          <w:p w14:paraId="282F6AE4" w14:textId="77777777" w:rsidR="00247B93" w:rsidRPr="007B528D" w:rsidRDefault="00247B93" w:rsidP="000A5AB7">
            <w:pPr>
              <w:jc w:val="both"/>
              <w:rPr>
                <w:rFonts w:cs="Arial"/>
                <w:color w:val="000000"/>
                <w:sz w:val="18"/>
                <w:szCs w:val="18"/>
              </w:rPr>
            </w:pPr>
            <w:r>
              <w:rPr>
                <w:rFonts w:cs="Arial"/>
                <w:color w:val="000000"/>
                <w:sz w:val="18"/>
                <w:szCs w:val="18"/>
              </w:rPr>
              <w:t>40.6</w:t>
            </w:r>
            <w:r w:rsidRPr="007B528D">
              <w:rPr>
                <w:rFonts w:cs="Arial"/>
                <w:color w:val="000000"/>
                <w:sz w:val="18"/>
                <w:szCs w:val="18"/>
              </w:rPr>
              <w:t>%</w:t>
            </w:r>
          </w:p>
        </w:tc>
        <w:tc>
          <w:tcPr>
            <w:tcW w:w="867" w:type="dxa"/>
            <w:tcBorders>
              <w:top w:val="single" w:sz="4" w:space="0" w:color="auto"/>
              <w:left w:val="nil"/>
              <w:bottom w:val="single" w:sz="8" w:space="0" w:color="auto"/>
              <w:right w:val="single" w:sz="8" w:space="0" w:color="auto"/>
            </w:tcBorders>
            <w:shd w:val="clear" w:color="auto" w:fill="auto"/>
            <w:vAlign w:val="center"/>
          </w:tcPr>
          <w:p w14:paraId="3E2462ED" w14:textId="77777777" w:rsidR="00247B93" w:rsidRDefault="00247B93" w:rsidP="000A5AB7">
            <w:pPr>
              <w:jc w:val="both"/>
              <w:rPr>
                <w:rFonts w:cs="Arial"/>
                <w:color w:val="000000"/>
                <w:sz w:val="18"/>
                <w:szCs w:val="18"/>
              </w:rPr>
            </w:pPr>
            <w:r w:rsidRPr="002F730F">
              <w:rPr>
                <w:rFonts w:cs="Arial"/>
                <w:sz w:val="18"/>
                <w:szCs w:val="18"/>
              </w:rPr>
              <w:t>48.8%</w:t>
            </w:r>
          </w:p>
        </w:tc>
        <w:tc>
          <w:tcPr>
            <w:tcW w:w="867" w:type="dxa"/>
            <w:tcBorders>
              <w:top w:val="single" w:sz="4" w:space="0" w:color="auto"/>
              <w:left w:val="single" w:sz="4" w:space="0" w:color="auto"/>
              <w:bottom w:val="single" w:sz="8" w:space="0" w:color="auto"/>
              <w:right w:val="single" w:sz="4" w:space="0" w:color="auto"/>
            </w:tcBorders>
            <w:shd w:val="clear" w:color="auto" w:fill="F7CAAC" w:themeFill="accent2" w:themeFillTint="66"/>
            <w:vAlign w:val="center"/>
          </w:tcPr>
          <w:p w14:paraId="14F3FD7C" w14:textId="77777777" w:rsidR="00247B93" w:rsidRPr="005612B3" w:rsidRDefault="009F6AEC" w:rsidP="000A5AB7">
            <w:pPr>
              <w:jc w:val="both"/>
              <w:rPr>
                <w:rFonts w:cs="Arial"/>
                <w:color w:val="FF0000"/>
                <w:sz w:val="18"/>
                <w:szCs w:val="18"/>
              </w:rPr>
            </w:pPr>
            <w:r w:rsidRPr="009F6AEC">
              <w:rPr>
                <w:rFonts w:cs="Arial"/>
                <w:sz w:val="18"/>
                <w:szCs w:val="18"/>
              </w:rPr>
              <w:t>58.2%</w:t>
            </w:r>
          </w:p>
        </w:tc>
        <w:tc>
          <w:tcPr>
            <w:tcW w:w="1102"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F503A49" w14:textId="77777777" w:rsidR="00247B93" w:rsidRPr="005612B3" w:rsidRDefault="009F6AEC" w:rsidP="000A5AB7">
            <w:pPr>
              <w:jc w:val="both"/>
              <w:rPr>
                <w:rFonts w:cs="Arial"/>
                <w:color w:val="FF0000"/>
                <w:sz w:val="18"/>
                <w:szCs w:val="18"/>
              </w:rPr>
            </w:pPr>
            <w:r w:rsidRPr="009F6AEC">
              <w:rPr>
                <w:rFonts w:cs="Arial"/>
                <w:sz w:val="18"/>
                <w:szCs w:val="18"/>
              </w:rPr>
              <w:t>43.6% (Q2 2018/19</w:t>
            </w:r>
            <w:r w:rsidR="00247B93" w:rsidRPr="009F6AEC">
              <w:rPr>
                <w:rFonts w:cs="Arial"/>
                <w:sz w:val="18"/>
                <w:szCs w:val="18"/>
              </w:rPr>
              <w:t>)</w:t>
            </w:r>
          </w:p>
        </w:tc>
      </w:tr>
      <w:tr w:rsidR="008956E8" w:rsidRPr="007B528D" w14:paraId="44C46AE3" w14:textId="77777777" w:rsidTr="00407851">
        <w:trPr>
          <w:trHeight w:val="60"/>
        </w:trPr>
        <w:tc>
          <w:tcPr>
            <w:tcW w:w="9923" w:type="dxa"/>
            <w:gridSpan w:val="8"/>
            <w:tcBorders>
              <w:top w:val="single" w:sz="8" w:space="0" w:color="auto"/>
              <w:left w:val="single" w:sz="8" w:space="0" w:color="auto"/>
              <w:bottom w:val="single" w:sz="8" w:space="0" w:color="auto"/>
              <w:right w:val="single" w:sz="8" w:space="0" w:color="000000"/>
            </w:tcBorders>
            <w:shd w:val="clear" w:color="000000" w:fill="F2F2F2"/>
          </w:tcPr>
          <w:p w14:paraId="6783C25D" w14:textId="77777777" w:rsidR="008956E8" w:rsidRPr="007B528D" w:rsidRDefault="008956E8" w:rsidP="000A5AB7">
            <w:pPr>
              <w:jc w:val="both"/>
              <w:rPr>
                <w:rFonts w:cs="Arial"/>
                <w:b/>
                <w:bCs/>
                <w:color w:val="000000"/>
                <w:sz w:val="18"/>
                <w:szCs w:val="18"/>
              </w:rPr>
            </w:pPr>
            <w:r>
              <w:rPr>
                <w:rFonts w:cs="Arial"/>
                <w:b/>
                <w:bCs/>
                <w:color w:val="000000"/>
                <w:sz w:val="18"/>
                <w:szCs w:val="18"/>
              </w:rPr>
              <w:t>Alcohol</w:t>
            </w:r>
          </w:p>
        </w:tc>
      </w:tr>
      <w:tr w:rsidR="007F38FB" w:rsidRPr="007B528D" w14:paraId="1FBF5A9E" w14:textId="77777777" w:rsidTr="00407851">
        <w:trPr>
          <w:trHeight w:val="48"/>
        </w:trPr>
        <w:tc>
          <w:tcPr>
            <w:tcW w:w="2393" w:type="dxa"/>
            <w:tcBorders>
              <w:top w:val="single" w:sz="8" w:space="0" w:color="auto"/>
              <w:left w:val="single" w:sz="8" w:space="0" w:color="auto"/>
              <w:bottom w:val="single" w:sz="8" w:space="0" w:color="000000"/>
              <w:right w:val="single" w:sz="8" w:space="0" w:color="auto"/>
            </w:tcBorders>
            <w:vAlign w:val="center"/>
            <w:hideMark/>
          </w:tcPr>
          <w:p w14:paraId="3E455F08" w14:textId="77777777" w:rsidR="002C7F5B" w:rsidRPr="003A4B3C" w:rsidRDefault="002C7F5B" w:rsidP="000A5AB7">
            <w:pPr>
              <w:jc w:val="both"/>
              <w:rPr>
                <w:rFonts w:cs="Arial"/>
                <w:color w:val="000000"/>
                <w:sz w:val="18"/>
                <w:szCs w:val="18"/>
              </w:rPr>
            </w:pPr>
            <w:r w:rsidRPr="003A4B3C">
              <w:rPr>
                <w:rFonts w:cs="Arial"/>
                <w:color w:val="000000"/>
                <w:sz w:val="18"/>
                <w:szCs w:val="18"/>
              </w:rPr>
              <w:t>Percentage of alcohol users that left alcohol treatment successfully who do not re-present to treatment within 6 months</w:t>
            </w:r>
            <w:r>
              <w:rPr>
                <w:rFonts w:cs="Arial"/>
                <w:color w:val="000000"/>
                <w:sz w:val="18"/>
                <w:szCs w:val="18"/>
              </w:rPr>
              <w:t xml:space="preserve"> </w:t>
            </w:r>
          </w:p>
        </w:tc>
        <w:tc>
          <w:tcPr>
            <w:tcW w:w="888" w:type="dxa"/>
            <w:tcBorders>
              <w:top w:val="nil"/>
              <w:left w:val="single" w:sz="8" w:space="0" w:color="auto"/>
              <w:bottom w:val="single" w:sz="8" w:space="0" w:color="000000"/>
              <w:right w:val="single" w:sz="8" w:space="0" w:color="auto"/>
            </w:tcBorders>
            <w:vAlign w:val="center"/>
            <w:hideMark/>
          </w:tcPr>
          <w:p w14:paraId="065B8436" w14:textId="77777777" w:rsidR="002C7F5B" w:rsidRPr="007B528D" w:rsidRDefault="002C7F5B" w:rsidP="000A5AB7">
            <w:pPr>
              <w:jc w:val="both"/>
              <w:rPr>
                <w:rFonts w:cs="Arial"/>
                <w:color w:val="000000"/>
                <w:sz w:val="18"/>
                <w:szCs w:val="18"/>
              </w:rPr>
            </w:pPr>
            <w:r>
              <w:rPr>
                <w:rFonts w:cs="Arial"/>
                <w:color w:val="000000"/>
                <w:sz w:val="18"/>
                <w:szCs w:val="18"/>
              </w:rPr>
              <w:t>H</w:t>
            </w:r>
          </w:p>
        </w:tc>
        <w:tc>
          <w:tcPr>
            <w:tcW w:w="972" w:type="dxa"/>
            <w:tcBorders>
              <w:top w:val="nil"/>
              <w:left w:val="single" w:sz="8" w:space="0" w:color="auto"/>
              <w:bottom w:val="single" w:sz="8" w:space="0" w:color="000000"/>
              <w:right w:val="single" w:sz="8" w:space="0" w:color="auto"/>
            </w:tcBorders>
            <w:vAlign w:val="center"/>
            <w:hideMark/>
          </w:tcPr>
          <w:p w14:paraId="7FEBB7F9" w14:textId="77777777" w:rsidR="002C7F5B" w:rsidRPr="007B528D" w:rsidRDefault="002C7F5B" w:rsidP="000A5AB7">
            <w:pPr>
              <w:jc w:val="both"/>
              <w:rPr>
                <w:rFonts w:cs="Arial"/>
                <w:color w:val="000000"/>
                <w:sz w:val="18"/>
                <w:szCs w:val="18"/>
              </w:rPr>
            </w:pPr>
            <w:r>
              <w:rPr>
                <w:rFonts w:cs="Arial"/>
                <w:color w:val="000000"/>
                <w:sz w:val="18"/>
                <w:szCs w:val="18"/>
              </w:rPr>
              <w:t>58.9%</w:t>
            </w:r>
          </w:p>
        </w:tc>
        <w:tc>
          <w:tcPr>
            <w:tcW w:w="1513" w:type="dxa"/>
            <w:tcBorders>
              <w:top w:val="nil"/>
              <w:left w:val="single" w:sz="8" w:space="0" w:color="auto"/>
              <w:bottom w:val="single" w:sz="8" w:space="0" w:color="000000"/>
              <w:right w:val="single" w:sz="8" w:space="0" w:color="auto"/>
            </w:tcBorders>
            <w:vAlign w:val="center"/>
          </w:tcPr>
          <w:p w14:paraId="10FDB9AE" w14:textId="77777777" w:rsidR="002C7F5B" w:rsidRDefault="002C7F5B" w:rsidP="000A5AB7">
            <w:pPr>
              <w:jc w:val="both"/>
              <w:rPr>
                <w:rFonts w:cs="Arial"/>
                <w:color w:val="000000"/>
                <w:sz w:val="18"/>
                <w:szCs w:val="18"/>
              </w:rPr>
            </w:pPr>
            <w:r>
              <w:rPr>
                <w:rFonts w:cs="Arial"/>
                <w:color w:val="000000"/>
                <w:sz w:val="18"/>
                <w:szCs w:val="18"/>
              </w:rPr>
              <w:t>54.7%</w:t>
            </w:r>
          </w:p>
          <w:p w14:paraId="70C9032D" w14:textId="77777777" w:rsidR="002C7F5B" w:rsidRPr="003A4B3C" w:rsidRDefault="007F38FB" w:rsidP="000A5AB7">
            <w:pPr>
              <w:jc w:val="both"/>
              <w:rPr>
                <w:rFonts w:cs="Arial"/>
                <w:color w:val="000000"/>
                <w:sz w:val="18"/>
                <w:szCs w:val="18"/>
              </w:rPr>
            </w:pPr>
            <w:r w:rsidRPr="002C7F5B">
              <w:rPr>
                <w:rFonts w:cs="Arial"/>
                <w:sz w:val="18"/>
                <w:szCs w:val="18"/>
              </w:rPr>
              <w:t>(</w:t>
            </w:r>
            <w:r>
              <w:rPr>
                <w:rFonts w:cs="Arial"/>
                <w:sz w:val="18"/>
                <w:szCs w:val="18"/>
              </w:rPr>
              <w:t>rolling year April 17 to March 18)</w:t>
            </w:r>
          </w:p>
        </w:tc>
        <w:tc>
          <w:tcPr>
            <w:tcW w:w="1321" w:type="dxa"/>
            <w:tcBorders>
              <w:top w:val="nil"/>
              <w:left w:val="nil"/>
              <w:bottom w:val="single" w:sz="8" w:space="0" w:color="auto"/>
              <w:right w:val="single" w:sz="8" w:space="0" w:color="auto"/>
            </w:tcBorders>
            <w:shd w:val="clear" w:color="000000" w:fill="F8CBAD"/>
            <w:vAlign w:val="center"/>
          </w:tcPr>
          <w:p w14:paraId="6A8BD3AD" w14:textId="77777777" w:rsidR="002C7F5B" w:rsidRPr="002C7F5B" w:rsidRDefault="002C7F5B" w:rsidP="000A5AB7">
            <w:pPr>
              <w:jc w:val="both"/>
              <w:rPr>
                <w:rFonts w:cs="Arial"/>
                <w:sz w:val="18"/>
                <w:szCs w:val="18"/>
              </w:rPr>
            </w:pPr>
            <w:r w:rsidRPr="002C7F5B">
              <w:rPr>
                <w:rFonts w:cs="Arial"/>
                <w:sz w:val="18"/>
                <w:szCs w:val="18"/>
              </w:rPr>
              <w:t>54.4%</w:t>
            </w:r>
          </w:p>
          <w:p w14:paraId="11447748" w14:textId="77777777" w:rsidR="002C7F5B" w:rsidRPr="00D576D0" w:rsidRDefault="002C7F5B" w:rsidP="000A5AB7">
            <w:pPr>
              <w:jc w:val="both"/>
              <w:rPr>
                <w:rFonts w:cs="Arial"/>
                <w:color w:val="000000"/>
                <w:sz w:val="18"/>
                <w:szCs w:val="18"/>
              </w:rPr>
            </w:pPr>
            <w:r w:rsidRPr="002C7F5B">
              <w:rPr>
                <w:rFonts w:cs="Arial"/>
                <w:sz w:val="18"/>
                <w:szCs w:val="18"/>
              </w:rPr>
              <w:t>(</w:t>
            </w:r>
            <w:r w:rsidR="007F38FB">
              <w:rPr>
                <w:rFonts w:cs="Arial"/>
                <w:sz w:val="18"/>
                <w:szCs w:val="18"/>
              </w:rPr>
              <w:t xml:space="preserve">rolling year July 17 to June 18) </w:t>
            </w:r>
          </w:p>
        </w:tc>
        <w:tc>
          <w:tcPr>
            <w:tcW w:w="867" w:type="dxa"/>
            <w:tcBorders>
              <w:top w:val="nil"/>
              <w:left w:val="nil"/>
              <w:bottom w:val="single" w:sz="8" w:space="0" w:color="auto"/>
              <w:right w:val="single" w:sz="4" w:space="0" w:color="auto"/>
            </w:tcBorders>
            <w:vAlign w:val="center"/>
          </w:tcPr>
          <w:p w14:paraId="0AA0BA0F" w14:textId="77777777" w:rsidR="002C7F5B" w:rsidRPr="007B528D" w:rsidRDefault="007F38FB" w:rsidP="000A5AB7">
            <w:pPr>
              <w:jc w:val="both"/>
              <w:rPr>
                <w:rFonts w:cs="Arial"/>
                <w:color w:val="000000"/>
                <w:sz w:val="18"/>
                <w:szCs w:val="18"/>
              </w:rPr>
            </w:pPr>
            <w:r>
              <w:rPr>
                <w:rFonts w:cs="Arial"/>
                <w:i/>
                <w:color w:val="000000"/>
                <w:sz w:val="18"/>
                <w:szCs w:val="18"/>
              </w:rPr>
              <w:t>n/a</w:t>
            </w:r>
          </w:p>
        </w:tc>
        <w:tc>
          <w:tcPr>
            <w:tcW w:w="867" w:type="dxa"/>
            <w:tcBorders>
              <w:left w:val="nil"/>
              <w:bottom w:val="single" w:sz="8" w:space="0" w:color="auto"/>
              <w:right w:val="single" w:sz="4" w:space="0" w:color="auto"/>
            </w:tcBorders>
            <w:vAlign w:val="center"/>
          </w:tcPr>
          <w:p w14:paraId="530E8E11" w14:textId="77777777" w:rsidR="002C7F5B" w:rsidRPr="005612B3" w:rsidRDefault="002C7F5B" w:rsidP="000A5AB7">
            <w:pPr>
              <w:jc w:val="both"/>
              <w:rPr>
                <w:rFonts w:cs="Arial"/>
                <w:color w:val="FF0000"/>
                <w:sz w:val="18"/>
                <w:szCs w:val="18"/>
              </w:rPr>
            </w:pPr>
            <w:r>
              <w:rPr>
                <w:rFonts w:cs="Arial"/>
                <w:i/>
                <w:color w:val="000000"/>
                <w:sz w:val="18"/>
                <w:szCs w:val="18"/>
              </w:rPr>
              <w:t>n/a</w:t>
            </w:r>
          </w:p>
        </w:tc>
        <w:tc>
          <w:tcPr>
            <w:tcW w:w="1102" w:type="dxa"/>
            <w:tcBorders>
              <w:top w:val="nil"/>
              <w:left w:val="single" w:sz="4" w:space="0" w:color="auto"/>
              <w:bottom w:val="single" w:sz="4" w:space="0" w:color="auto"/>
              <w:right w:val="single" w:sz="8" w:space="0" w:color="auto"/>
            </w:tcBorders>
            <w:shd w:val="clear" w:color="auto" w:fill="auto"/>
            <w:vAlign w:val="center"/>
            <w:hideMark/>
          </w:tcPr>
          <w:p w14:paraId="706CF9FD" w14:textId="77777777" w:rsidR="002C7F5B" w:rsidRPr="002D5D45" w:rsidRDefault="002C7F5B" w:rsidP="000A5AB7">
            <w:pPr>
              <w:jc w:val="both"/>
              <w:rPr>
                <w:rFonts w:cs="Arial"/>
                <w:color w:val="000000"/>
                <w:sz w:val="18"/>
                <w:szCs w:val="18"/>
              </w:rPr>
            </w:pPr>
            <w:r w:rsidRPr="002C7F5B">
              <w:rPr>
                <w:rFonts w:cs="Arial"/>
                <w:sz w:val="18"/>
                <w:szCs w:val="18"/>
              </w:rPr>
              <w:t>38.5%</w:t>
            </w:r>
          </w:p>
        </w:tc>
      </w:tr>
      <w:tr w:rsidR="008956E8" w:rsidRPr="007B528D" w14:paraId="3B73B213" w14:textId="77777777" w:rsidTr="00407851">
        <w:trPr>
          <w:trHeight w:val="60"/>
        </w:trPr>
        <w:tc>
          <w:tcPr>
            <w:tcW w:w="9923" w:type="dxa"/>
            <w:gridSpan w:val="8"/>
            <w:tcBorders>
              <w:top w:val="single" w:sz="8" w:space="0" w:color="auto"/>
              <w:left w:val="single" w:sz="8" w:space="0" w:color="auto"/>
              <w:bottom w:val="single" w:sz="8" w:space="0" w:color="auto"/>
              <w:right w:val="single" w:sz="8" w:space="0" w:color="000000"/>
            </w:tcBorders>
            <w:shd w:val="clear" w:color="000000" w:fill="F2F2F2"/>
          </w:tcPr>
          <w:p w14:paraId="0B04350C" w14:textId="77777777" w:rsidR="008956E8" w:rsidRPr="007B528D" w:rsidRDefault="008956E8" w:rsidP="000A5AB7">
            <w:pPr>
              <w:jc w:val="both"/>
              <w:rPr>
                <w:rFonts w:cs="Arial"/>
                <w:b/>
                <w:bCs/>
                <w:color w:val="000000"/>
                <w:sz w:val="18"/>
                <w:szCs w:val="18"/>
              </w:rPr>
            </w:pPr>
            <w:r>
              <w:rPr>
                <w:rFonts w:cs="Arial"/>
                <w:b/>
                <w:bCs/>
                <w:color w:val="000000"/>
                <w:sz w:val="18"/>
                <w:szCs w:val="18"/>
              </w:rPr>
              <w:t>Drug use</w:t>
            </w:r>
          </w:p>
        </w:tc>
      </w:tr>
      <w:tr w:rsidR="007F38FB" w:rsidRPr="007B528D" w14:paraId="54C360C7" w14:textId="77777777" w:rsidTr="00407851">
        <w:trPr>
          <w:trHeight w:val="48"/>
        </w:trPr>
        <w:tc>
          <w:tcPr>
            <w:tcW w:w="2393" w:type="dxa"/>
            <w:tcBorders>
              <w:top w:val="single" w:sz="8" w:space="0" w:color="auto"/>
              <w:left w:val="single" w:sz="8" w:space="0" w:color="auto"/>
              <w:bottom w:val="single" w:sz="8" w:space="0" w:color="000000"/>
              <w:right w:val="single" w:sz="8" w:space="0" w:color="auto"/>
            </w:tcBorders>
            <w:vAlign w:val="center"/>
          </w:tcPr>
          <w:p w14:paraId="60835CE4" w14:textId="77777777" w:rsidR="007F38FB" w:rsidRPr="003A4B3C" w:rsidRDefault="007F38FB" w:rsidP="000A5AB7">
            <w:pPr>
              <w:jc w:val="both"/>
              <w:rPr>
                <w:rFonts w:cs="Arial"/>
                <w:color w:val="000000"/>
                <w:sz w:val="18"/>
                <w:szCs w:val="18"/>
              </w:rPr>
            </w:pPr>
            <w:r>
              <w:rPr>
                <w:rFonts w:cs="Arial"/>
                <w:color w:val="000000"/>
                <w:sz w:val="18"/>
                <w:szCs w:val="18"/>
              </w:rPr>
              <w:t xml:space="preserve">% </w:t>
            </w:r>
            <w:r w:rsidRPr="003A4B3C">
              <w:rPr>
                <w:rFonts w:cs="Arial"/>
                <w:color w:val="000000"/>
                <w:sz w:val="18"/>
                <w:szCs w:val="18"/>
              </w:rPr>
              <w:t>of opiate drug users that left drug treatment successfully who do not re-present to treatment within 6 months</w:t>
            </w:r>
            <w:r>
              <w:rPr>
                <w:rFonts w:cs="Arial"/>
                <w:color w:val="000000"/>
                <w:sz w:val="18"/>
                <w:szCs w:val="18"/>
              </w:rPr>
              <w:t xml:space="preserve"> </w:t>
            </w:r>
          </w:p>
        </w:tc>
        <w:tc>
          <w:tcPr>
            <w:tcW w:w="888" w:type="dxa"/>
            <w:tcBorders>
              <w:top w:val="nil"/>
              <w:left w:val="single" w:sz="8" w:space="0" w:color="auto"/>
              <w:bottom w:val="single" w:sz="8" w:space="0" w:color="000000"/>
              <w:right w:val="single" w:sz="8" w:space="0" w:color="auto"/>
            </w:tcBorders>
            <w:vAlign w:val="center"/>
          </w:tcPr>
          <w:p w14:paraId="2A8F7670" w14:textId="77777777" w:rsidR="007F38FB" w:rsidRPr="007B528D" w:rsidRDefault="007F38FB" w:rsidP="000A5AB7">
            <w:pPr>
              <w:jc w:val="both"/>
              <w:rPr>
                <w:rFonts w:cs="Arial"/>
                <w:color w:val="000000"/>
                <w:sz w:val="18"/>
                <w:szCs w:val="18"/>
              </w:rPr>
            </w:pPr>
            <w:r>
              <w:rPr>
                <w:rFonts w:cs="Arial"/>
                <w:color w:val="000000"/>
                <w:sz w:val="18"/>
                <w:szCs w:val="18"/>
              </w:rPr>
              <w:t>H</w:t>
            </w:r>
          </w:p>
        </w:tc>
        <w:tc>
          <w:tcPr>
            <w:tcW w:w="972" w:type="dxa"/>
            <w:tcBorders>
              <w:top w:val="nil"/>
              <w:left w:val="single" w:sz="8" w:space="0" w:color="auto"/>
              <w:bottom w:val="single" w:sz="8" w:space="0" w:color="000000"/>
              <w:right w:val="single" w:sz="8" w:space="0" w:color="auto"/>
            </w:tcBorders>
            <w:vAlign w:val="center"/>
          </w:tcPr>
          <w:p w14:paraId="5CBF77D5" w14:textId="77777777" w:rsidR="007F38FB" w:rsidRPr="008956E8" w:rsidRDefault="007F38FB" w:rsidP="000A5AB7">
            <w:pPr>
              <w:jc w:val="both"/>
              <w:rPr>
                <w:rFonts w:cs="Arial"/>
                <w:sz w:val="18"/>
                <w:szCs w:val="18"/>
              </w:rPr>
            </w:pPr>
            <w:r w:rsidRPr="008956E8">
              <w:rPr>
                <w:rFonts w:cs="Arial"/>
                <w:sz w:val="18"/>
                <w:szCs w:val="18"/>
              </w:rPr>
              <w:t>8.8%</w:t>
            </w:r>
          </w:p>
        </w:tc>
        <w:tc>
          <w:tcPr>
            <w:tcW w:w="1513" w:type="dxa"/>
            <w:tcBorders>
              <w:top w:val="nil"/>
              <w:left w:val="nil"/>
              <w:bottom w:val="single" w:sz="8" w:space="0" w:color="auto"/>
              <w:right w:val="single" w:sz="4" w:space="0" w:color="auto"/>
            </w:tcBorders>
            <w:vAlign w:val="center"/>
          </w:tcPr>
          <w:p w14:paraId="38651BB8" w14:textId="77777777" w:rsidR="007F38FB" w:rsidRDefault="007F38FB" w:rsidP="000A5AB7">
            <w:pPr>
              <w:jc w:val="both"/>
              <w:rPr>
                <w:rFonts w:cs="Arial"/>
                <w:color w:val="000000"/>
                <w:sz w:val="18"/>
                <w:szCs w:val="18"/>
              </w:rPr>
            </w:pPr>
            <w:r>
              <w:rPr>
                <w:rFonts w:cs="Arial"/>
                <w:color w:val="000000"/>
                <w:sz w:val="18"/>
                <w:szCs w:val="18"/>
              </w:rPr>
              <w:t>7.1%</w:t>
            </w:r>
          </w:p>
          <w:p w14:paraId="19E5268E" w14:textId="77777777" w:rsidR="007F38FB" w:rsidRPr="003A4B3C" w:rsidRDefault="007F38FB" w:rsidP="000A5AB7">
            <w:pPr>
              <w:jc w:val="both"/>
              <w:rPr>
                <w:rFonts w:cs="Arial"/>
                <w:color w:val="000000"/>
                <w:sz w:val="18"/>
                <w:szCs w:val="18"/>
              </w:rPr>
            </w:pPr>
            <w:r w:rsidRPr="002C7F5B">
              <w:rPr>
                <w:rFonts w:cs="Arial"/>
                <w:sz w:val="18"/>
                <w:szCs w:val="18"/>
              </w:rPr>
              <w:t>(</w:t>
            </w:r>
            <w:r>
              <w:rPr>
                <w:rFonts w:cs="Arial"/>
                <w:sz w:val="18"/>
                <w:szCs w:val="18"/>
              </w:rPr>
              <w:t>rolling year April 17 to March 18)</w:t>
            </w:r>
          </w:p>
        </w:tc>
        <w:tc>
          <w:tcPr>
            <w:tcW w:w="1321" w:type="dxa"/>
            <w:tcBorders>
              <w:top w:val="nil"/>
              <w:left w:val="nil"/>
              <w:bottom w:val="single" w:sz="8" w:space="0" w:color="auto"/>
              <w:right w:val="single" w:sz="8" w:space="0" w:color="auto"/>
            </w:tcBorders>
            <w:shd w:val="clear" w:color="000000" w:fill="F8CBAD"/>
            <w:vAlign w:val="center"/>
          </w:tcPr>
          <w:p w14:paraId="0704DEB8" w14:textId="77777777" w:rsidR="007F38FB" w:rsidRPr="007F38FB" w:rsidRDefault="007F38FB" w:rsidP="000A5AB7">
            <w:pPr>
              <w:jc w:val="both"/>
              <w:rPr>
                <w:rFonts w:cs="Arial"/>
                <w:sz w:val="18"/>
                <w:szCs w:val="18"/>
              </w:rPr>
            </w:pPr>
            <w:r w:rsidRPr="007F38FB">
              <w:rPr>
                <w:rFonts w:cs="Arial"/>
                <w:sz w:val="18"/>
                <w:szCs w:val="18"/>
              </w:rPr>
              <w:t>6.9%</w:t>
            </w:r>
          </w:p>
          <w:p w14:paraId="60E0F71C" w14:textId="77777777" w:rsidR="007F38FB" w:rsidRPr="007F38FB" w:rsidRDefault="007F38FB" w:rsidP="000A5AB7">
            <w:pPr>
              <w:jc w:val="both"/>
              <w:rPr>
                <w:rFonts w:cs="Arial"/>
                <w:sz w:val="18"/>
                <w:szCs w:val="18"/>
              </w:rPr>
            </w:pPr>
            <w:r w:rsidRPr="002C7F5B">
              <w:rPr>
                <w:rFonts w:cs="Arial"/>
                <w:sz w:val="18"/>
                <w:szCs w:val="18"/>
              </w:rPr>
              <w:t>(</w:t>
            </w:r>
            <w:r>
              <w:rPr>
                <w:rFonts w:cs="Arial"/>
                <w:sz w:val="18"/>
                <w:szCs w:val="18"/>
              </w:rPr>
              <w:t>rolling year July 17 to June 18)</w:t>
            </w:r>
          </w:p>
        </w:tc>
        <w:tc>
          <w:tcPr>
            <w:tcW w:w="867" w:type="dxa"/>
            <w:tcBorders>
              <w:top w:val="nil"/>
              <w:left w:val="nil"/>
              <w:bottom w:val="single" w:sz="8" w:space="0" w:color="auto"/>
              <w:right w:val="single" w:sz="4" w:space="0" w:color="auto"/>
            </w:tcBorders>
            <w:vAlign w:val="center"/>
          </w:tcPr>
          <w:p w14:paraId="3174C4D7" w14:textId="77777777" w:rsidR="007F38FB" w:rsidRPr="007B528D" w:rsidRDefault="007F38FB" w:rsidP="000A5AB7">
            <w:pPr>
              <w:jc w:val="both"/>
              <w:rPr>
                <w:rFonts w:cs="Arial"/>
                <w:color w:val="000000"/>
                <w:sz w:val="18"/>
                <w:szCs w:val="18"/>
              </w:rPr>
            </w:pPr>
            <w:r w:rsidRPr="003B4A42">
              <w:rPr>
                <w:rFonts w:cs="Arial"/>
                <w:i/>
                <w:color w:val="000000"/>
                <w:sz w:val="18"/>
                <w:szCs w:val="18"/>
              </w:rPr>
              <w:t>n/a</w:t>
            </w:r>
          </w:p>
        </w:tc>
        <w:tc>
          <w:tcPr>
            <w:tcW w:w="867" w:type="dxa"/>
            <w:tcBorders>
              <w:top w:val="nil"/>
              <w:left w:val="single" w:sz="8" w:space="0" w:color="auto"/>
              <w:bottom w:val="single" w:sz="8" w:space="0" w:color="000000"/>
              <w:right w:val="single" w:sz="8" w:space="0" w:color="auto"/>
            </w:tcBorders>
            <w:vAlign w:val="center"/>
          </w:tcPr>
          <w:p w14:paraId="67B03383" w14:textId="77777777" w:rsidR="007F38FB" w:rsidRPr="005612B3" w:rsidRDefault="007F38FB" w:rsidP="000A5AB7">
            <w:pPr>
              <w:jc w:val="both"/>
              <w:rPr>
                <w:rFonts w:cs="Arial"/>
                <w:color w:val="FF0000"/>
                <w:sz w:val="18"/>
                <w:szCs w:val="18"/>
              </w:rPr>
            </w:pPr>
            <w:r w:rsidRPr="003B4A42">
              <w:rPr>
                <w:rFonts w:cs="Arial"/>
                <w:i/>
                <w:color w:val="000000"/>
                <w:sz w:val="18"/>
                <w:szCs w:val="18"/>
              </w:rPr>
              <w:t>n/a</w:t>
            </w:r>
          </w:p>
        </w:tc>
        <w:tc>
          <w:tcPr>
            <w:tcW w:w="1102" w:type="dxa"/>
            <w:tcBorders>
              <w:top w:val="nil"/>
              <w:left w:val="single" w:sz="4" w:space="0" w:color="auto"/>
              <w:bottom w:val="single" w:sz="4" w:space="0" w:color="auto"/>
              <w:right w:val="single" w:sz="8" w:space="0" w:color="auto"/>
            </w:tcBorders>
            <w:shd w:val="clear" w:color="auto" w:fill="auto"/>
            <w:vAlign w:val="center"/>
          </w:tcPr>
          <w:p w14:paraId="6DB50666" w14:textId="77777777" w:rsidR="007F38FB" w:rsidRPr="002C7F5B" w:rsidRDefault="007F38FB" w:rsidP="000A5AB7">
            <w:pPr>
              <w:jc w:val="both"/>
              <w:rPr>
                <w:rFonts w:cs="Arial"/>
                <w:sz w:val="18"/>
                <w:szCs w:val="18"/>
              </w:rPr>
            </w:pPr>
            <w:r w:rsidRPr="002C7F5B">
              <w:rPr>
                <w:rFonts w:cs="Arial"/>
                <w:sz w:val="18"/>
                <w:szCs w:val="18"/>
              </w:rPr>
              <w:t>6.1%</w:t>
            </w:r>
          </w:p>
        </w:tc>
      </w:tr>
      <w:tr w:rsidR="007F38FB" w:rsidRPr="007B528D" w14:paraId="5DF826B2" w14:textId="77777777" w:rsidTr="00407851">
        <w:trPr>
          <w:trHeight w:val="48"/>
        </w:trPr>
        <w:tc>
          <w:tcPr>
            <w:tcW w:w="2393" w:type="dxa"/>
            <w:tcBorders>
              <w:top w:val="single" w:sz="8" w:space="0" w:color="auto"/>
              <w:left w:val="single" w:sz="8" w:space="0" w:color="auto"/>
              <w:bottom w:val="single" w:sz="8" w:space="0" w:color="000000"/>
              <w:right w:val="single" w:sz="8" w:space="0" w:color="auto"/>
            </w:tcBorders>
            <w:vAlign w:val="center"/>
          </w:tcPr>
          <w:p w14:paraId="66649785" w14:textId="77777777" w:rsidR="007F38FB" w:rsidRPr="003A4B3C" w:rsidRDefault="007F38FB" w:rsidP="000A5AB7">
            <w:pPr>
              <w:jc w:val="both"/>
              <w:rPr>
                <w:rFonts w:cs="Arial"/>
                <w:color w:val="000000"/>
                <w:sz w:val="18"/>
                <w:szCs w:val="18"/>
              </w:rPr>
            </w:pPr>
            <w:r>
              <w:rPr>
                <w:rFonts w:cs="Arial"/>
                <w:color w:val="000000"/>
                <w:sz w:val="18"/>
                <w:szCs w:val="18"/>
              </w:rPr>
              <w:t xml:space="preserve">% </w:t>
            </w:r>
            <w:r w:rsidRPr="003A4B3C">
              <w:rPr>
                <w:rFonts w:cs="Arial"/>
                <w:color w:val="000000"/>
                <w:sz w:val="18"/>
                <w:szCs w:val="18"/>
              </w:rPr>
              <w:t>of non-opiate drug users that left drug treatment successfully who do not re-present to treatment within 6 months</w:t>
            </w:r>
            <w:r>
              <w:rPr>
                <w:rFonts w:cs="Arial"/>
                <w:color w:val="000000"/>
                <w:sz w:val="18"/>
                <w:szCs w:val="18"/>
              </w:rPr>
              <w:t xml:space="preserve"> </w:t>
            </w:r>
          </w:p>
        </w:tc>
        <w:tc>
          <w:tcPr>
            <w:tcW w:w="888" w:type="dxa"/>
            <w:tcBorders>
              <w:top w:val="nil"/>
              <w:left w:val="single" w:sz="8" w:space="0" w:color="auto"/>
              <w:bottom w:val="single" w:sz="8" w:space="0" w:color="000000"/>
              <w:right w:val="single" w:sz="8" w:space="0" w:color="auto"/>
            </w:tcBorders>
            <w:vAlign w:val="center"/>
          </w:tcPr>
          <w:p w14:paraId="3C15B25E" w14:textId="77777777" w:rsidR="007F38FB" w:rsidRPr="007B528D" w:rsidRDefault="007F38FB" w:rsidP="000A5AB7">
            <w:pPr>
              <w:jc w:val="both"/>
              <w:rPr>
                <w:rFonts w:cs="Arial"/>
                <w:color w:val="000000"/>
                <w:sz w:val="18"/>
                <w:szCs w:val="18"/>
              </w:rPr>
            </w:pPr>
            <w:r>
              <w:rPr>
                <w:rFonts w:cs="Arial"/>
                <w:color w:val="000000"/>
                <w:sz w:val="18"/>
                <w:szCs w:val="18"/>
              </w:rPr>
              <w:t>H</w:t>
            </w:r>
          </w:p>
        </w:tc>
        <w:tc>
          <w:tcPr>
            <w:tcW w:w="972" w:type="dxa"/>
            <w:tcBorders>
              <w:top w:val="nil"/>
              <w:left w:val="single" w:sz="8" w:space="0" w:color="auto"/>
              <w:bottom w:val="single" w:sz="8" w:space="0" w:color="000000"/>
              <w:right w:val="single" w:sz="8" w:space="0" w:color="auto"/>
            </w:tcBorders>
            <w:vAlign w:val="center"/>
          </w:tcPr>
          <w:p w14:paraId="27688CF4" w14:textId="77777777" w:rsidR="007F38FB" w:rsidRPr="008956E8" w:rsidRDefault="007F38FB" w:rsidP="000A5AB7">
            <w:pPr>
              <w:jc w:val="both"/>
              <w:rPr>
                <w:rFonts w:cs="Arial"/>
                <w:sz w:val="18"/>
                <w:szCs w:val="18"/>
              </w:rPr>
            </w:pPr>
            <w:r w:rsidRPr="008956E8">
              <w:rPr>
                <w:rFonts w:cs="Arial"/>
                <w:sz w:val="18"/>
                <w:szCs w:val="18"/>
              </w:rPr>
              <w:t>57.3%</w:t>
            </w:r>
          </w:p>
        </w:tc>
        <w:tc>
          <w:tcPr>
            <w:tcW w:w="1513" w:type="dxa"/>
            <w:tcBorders>
              <w:top w:val="nil"/>
              <w:left w:val="nil"/>
              <w:bottom w:val="single" w:sz="8" w:space="0" w:color="auto"/>
              <w:right w:val="single" w:sz="4" w:space="0" w:color="auto"/>
            </w:tcBorders>
            <w:vAlign w:val="center"/>
          </w:tcPr>
          <w:p w14:paraId="70F42715" w14:textId="77777777" w:rsidR="007F38FB" w:rsidRDefault="007F38FB" w:rsidP="000A5AB7">
            <w:pPr>
              <w:jc w:val="both"/>
              <w:rPr>
                <w:rFonts w:cs="Arial"/>
                <w:color w:val="000000"/>
                <w:sz w:val="18"/>
                <w:szCs w:val="18"/>
              </w:rPr>
            </w:pPr>
            <w:r>
              <w:rPr>
                <w:rFonts w:cs="Arial"/>
                <w:color w:val="000000"/>
                <w:sz w:val="18"/>
                <w:szCs w:val="18"/>
              </w:rPr>
              <w:t>52.7%</w:t>
            </w:r>
          </w:p>
          <w:p w14:paraId="618C448B" w14:textId="77777777" w:rsidR="007F38FB" w:rsidRPr="003A4B3C" w:rsidRDefault="007F38FB" w:rsidP="000A5AB7">
            <w:pPr>
              <w:jc w:val="both"/>
              <w:rPr>
                <w:rFonts w:cs="Arial"/>
                <w:color w:val="000000"/>
                <w:sz w:val="18"/>
                <w:szCs w:val="18"/>
              </w:rPr>
            </w:pPr>
            <w:r w:rsidRPr="002C7F5B">
              <w:rPr>
                <w:rFonts w:cs="Arial"/>
                <w:sz w:val="18"/>
                <w:szCs w:val="18"/>
              </w:rPr>
              <w:t>(</w:t>
            </w:r>
            <w:r>
              <w:rPr>
                <w:rFonts w:cs="Arial"/>
                <w:sz w:val="18"/>
                <w:szCs w:val="18"/>
              </w:rPr>
              <w:t>rolling year April 17 to March 18)</w:t>
            </w:r>
          </w:p>
        </w:tc>
        <w:tc>
          <w:tcPr>
            <w:tcW w:w="1321" w:type="dxa"/>
            <w:tcBorders>
              <w:top w:val="nil"/>
              <w:left w:val="nil"/>
              <w:bottom w:val="single" w:sz="8" w:space="0" w:color="auto"/>
              <w:right w:val="single" w:sz="8" w:space="0" w:color="auto"/>
            </w:tcBorders>
            <w:shd w:val="clear" w:color="000000" w:fill="F8CBAD"/>
            <w:vAlign w:val="center"/>
          </w:tcPr>
          <w:p w14:paraId="5D2E6255" w14:textId="77777777" w:rsidR="007F38FB" w:rsidRPr="007F38FB" w:rsidRDefault="007F38FB" w:rsidP="000A5AB7">
            <w:pPr>
              <w:jc w:val="both"/>
              <w:rPr>
                <w:rFonts w:cs="Arial"/>
                <w:sz w:val="18"/>
                <w:szCs w:val="18"/>
              </w:rPr>
            </w:pPr>
            <w:r w:rsidRPr="007F38FB">
              <w:rPr>
                <w:rFonts w:cs="Arial"/>
                <w:sz w:val="18"/>
                <w:szCs w:val="18"/>
              </w:rPr>
              <w:t>52.2%</w:t>
            </w:r>
          </w:p>
          <w:p w14:paraId="577F4EEA" w14:textId="77777777" w:rsidR="007F38FB" w:rsidRPr="007F38FB" w:rsidRDefault="007F38FB" w:rsidP="000A5AB7">
            <w:pPr>
              <w:jc w:val="both"/>
              <w:rPr>
                <w:rFonts w:cs="Arial"/>
                <w:sz w:val="18"/>
                <w:szCs w:val="18"/>
              </w:rPr>
            </w:pPr>
            <w:r w:rsidRPr="002C7F5B">
              <w:rPr>
                <w:rFonts w:cs="Arial"/>
                <w:sz w:val="18"/>
                <w:szCs w:val="18"/>
              </w:rPr>
              <w:t>(</w:t>
            </w:r>
            <w:r>
              <w:rPr>
                <w:rFonts w:cs="Arial"/>
                <w:sz w:val="18"/>
                <w:szCs w:val="18"/>
              </w:rPr>
              <w:t>rolling year July 17 to June 18)</w:t>
            </w:r>
          </w:p>
        </w:tc>
        <w:tc>
          <w:tcPr>
            <w:tcW w:w="867" w:type="dxa"/>
            <w:tcBorders>
              <w:top w:val="nil"/>
              <w:left w:val="nil"/>
              <w:bottom w:val="single" w:sz="8" w:space="0" w:color="auto"/>
              <w:right w:val="single" w:sz="4" w:space="0" w:color="auto"/>
            </w:tcBorders>
            <w:vAlign w:val="center"/>
          </w:tcPr>
          <w:p w14:paraId="4A034066" w14:textId="77777777" w:rsidR="007F38FB" w:rsidRPr="007B528D" w:rsidRDefault="007F38FB" w:rsidP="000A5AB7">
            <w:pPr>
              <w:jc w:val="both"/>
              <w:rPr>
                <w:rFonts w:cs="Arial"/>
                <w:color w:val="000000"/>
                <w:sz w:val="18"/>
                <w:szCs w:val="18"/>
              </w:rPr>
            </w:pPr>
            <w:r w:rsidRPr="003B4A42">
              <w:rPr>
                <w:rFonts w:cs="Arial"/>
                <w:i/>
                <w:color w:val="000000"/>
                <w:sz w:val="18"/>
                <w:szCs w:val="18"/>
              </w:rPr>
              <w:t>n/a</w:t>
            </w:r>
          </w:p>
        </w:tc>
        <w:tc>
          <w:tcPr>
            <w:tcW w:w="867" w:type="dxa"/>
            <w:tcBorders>
              <w:top w:val="nil"/>
              <w:left w:val="single" w:sz="8" w:space="0" w:color="auto"/>
              <w:bottom w:val="single" w:sz="8" w:space="0" w:color="000000"/>
              <w:right w:val="single" w:sz="8" w:space="0" w:color="auto"/>
            </w:tcBorders>
            <w:vAlign w:val="center"/>
          </w:tcPr>
          <w:p w14:paraId="79CA5747" w14:textId="77777777" w:rsidR="007F38FB" w:rsidRPr="005612B3" w:rsidRDefault="007F38FB" w:rsidP="000A5AB7">
            <w:pPr>
              <w:jc w:val="both"/>
              <w:rPr>
                <w:rFonts w:cs="Arial"/>
                <w:color w:val="FF0000"/>
                <w:sz w:val="18"/>
                <w:szCs w:val="18"/>
              </w:rPr>
            </w:pPr>
            <w:r w:rsidRPr="003B4A42">
              <w:rPr>
                <w:rFonts w:cs="Arial"/>
                <w:i/>
                <w:color w:val="000000"/>
                <w:sz w:val="18"/>
                <w:szCs w:val="18"/>
              </w:rPr>
              <w:t>n/a</w:t>
            </w:r>
          </w:p>
        </w:tc>
        <w:tc>
          <w:tcPr>
            <w:tcW w:w="1102" w:type="dxa"/>
            <w:tcBorders>
              <w:top w:val="nil"/>
              <w:left w:val="single" w:sz="4" w:space="0" w:color="auto"/>
              <w:bottom w:val="single" w:sz="4" w:space="0" w:color="auto"/>
              <w:right w:val="single" w:sz="8" w:space="0" w:color="auto"/>
            </w:tcBorders>
            <w:shd w:val="clear" w:color="auto" w:fill="auto"/>
            <w:vAlign w:val="center"/>
          </w:tcPr>
          <w:p w14:paraId="628330E8" w14:textId="77777777" w:rsidR="007F38FB" w:rsidRPr="002C7F5B" w:rsidRDefault="007F38FB" w:rsidP="000A5AB7">
            <w:pPr>
              <w:jc w:val="both"/>
              <w:rPr>
                <w:rFonts w:cs="Arial"/>
                <w:sz w:val="18"/>
                <w:szCs w:val="18"/>
              </w:rPr>
            </w:pPr>
            <w:r w:rsidRPr="002C7F5B">
              <w:rPr>
                <w:rFonts w:cs="Arial"/>
                <w:sz w:val="18"/>
                <w:szCs w:val="18"/>
              </w:rPr>
              <w:t>35.7%</w:t>
            </w:r>
          </w:p>
        </w:tc>
      </w:tr>
      <w:tr w:rsidR="002C7F5B" w:rsidRPr="007B528D" w14:paraId="2E5D325A" w14:textId="77777777" w:rsidTr="00407851">
        <w:trPr>
          <w:trHeight w:val="60"/>
        </w:trPr>
        <w:tc>
          <w:tcPr>
            <w:tcW w:w="9923" w:type="dxa"/>
            <w:gridSpan w:val="8"/>
            <w:tcBorders>
              <w:top w:val="single" w:sz="8" w:space="0" w:color="auto"/>
              <w:left w:val="single" w:sz="8" w:space="0" w:color="auto"/>
              <w:bottom w:val="single" w:sz="8" w:space="0" w:color="auto"/>
              <w:right w:val="single" w:sz="8" w:space="0" w:color="000000"/>
            </w:tcBorders>
            <w:shd w:val="clear" w:color="000000" w:fill="F2F2F2"/>
          </w:tcPr>
          <w:p w14:paraId="13F16285" w14:textId="2EA248A2" w:rsidR="002C7F5B" w:rsidRPr="007B528D" w:rsidRDefault="00BD7D7A" w:rsidP="000A5AB7">
            <w:pPr>
              <w:jc w:val="both"/>
              <w:rPr>
                <w:rFonts w:cs="Arial"/>
                <w:b/>
                <w:bCs/>
                <w:color w:val="000000"/>
                <w:sz w:val="18"/>
                <w:szCs w:val="18"/>
              </w:rPr>
            </w:pPr>
            <w:r>
              <w:rPr>
                <w:rFonts w:cs="Arial"/>
                <w:b/>
                <w:bCs/>
                <w:color w:val="000000"/>
                <w:sz w:val="18"/>
                <w:szCs w:val="18"/>
              </w:rPr>
              <w:t xml:space="preserve"> </w:t>
            </w:r>
            <w:r w:rsidRPr="008D2153">
              <w:rPr>
                <w:b/>
                <w:sz w:val="18"/>
                <w:szCs w:val="18"/>
              </w:rPr>
              <w:t>Children &amp; Family Wellbeing service</w:t>
            </w:r>
          </w:p>
        </w:tc>
      </w:tr>
      <w:tr w:rsidR="007F38FB" w:rsidRPr="007B528D" w14:paraId="23EF6AE6" w14:textId="77777777" w:rsidTr="00407851">
        <w:trPr>
          <w:trHeight w:val="405"/>
        </w:trPr>
        <w:tc>
          <w:tcPr>
            <w:tcW w:w="239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48617CB6" w14:textId="77777777" w:rsidR="002C7F5B" w:rsidRPr="007B528D" w:rsidRDefault="002C7F5B" w:rsidP="000A5AB7">
            <w:pPr>
              <w:jc w:val="both"/>
              <w:rPr>
                <w:rFonts w:cs="Arial"/>
                <w:b/>
                <w:bCs/>
                <w:color w:val="000000"/>
                <w:sz w:val="18"/>
                <w:szCs w:val="18"/>
              </w:rPr>
            </w:pPr>
            <w:r w:rsidRPr="007B528D">
              <w:rPr>
                <w:rFonts w:cs="Arial"/>
                <w:b/>
                <w:bCs/>
                <w:color w:val="000000"/>
                <w:sz w:val="18"/>
                <w:szCs w:val="18"/>
              </w:rPr>
              <w:t> </w:t>
            </w:r>
          </w:p>
        </w:tc>
        <w:tc>
          <w:tcPr>
            <w:tcW w:w="888"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EFA4009" w14:textId="77777777" w:rsidR="002C7F5B" w:rsidRPr="007B528D" w:rsidRDefault="002C7F5B" w:rsidP="000A5AB7">
            <w:pPr>
              <w:jc w:val="both"/>
              <w:rPr>
                <w:rFonts w:cs="Arial"/>
                <w:b/>
                <w:bCs/>
                <w:color w:val="000000"/>
                <w:sz w:val="18"/>
                <w:szCs w:val="18"/>
              </w:rPr>
            </w:pPr>
            <w:r w:rsidRPr="007B528D">
              <w:rPr>
                <w:rFonts w:cs="Arial"/>
                <w:b/>
                <w:bCs/>
                <w:color w:val="000000"/>
                <w:sz w:val="18"/>
                <w:szCs w:val="18"/>
              </w:rPr>
              <w:t>Good is High or Low</w:t>
            </w:r>
          </w:p>
        </w:tc>
        <w:tc>
          <w:tcPr>
            <w:tcW w:w="97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41778504" w14:textId="77777777" w:rsidR="002C7F5B" w:rsidRPr="008956E8" w:rsidRDefault="002C7F5B" w:rsidP="000A5AB7">
            <w:pPr>
              <w:jc w:val="both"/>
              <w:rPr>
                <w:rFonts w:cs="Arial"/>
                <w:b/>
                <w:bCs/>
                <w:sz w:val="18"/>
                <w:szCs w:val="18"/>
              </w:rPr>
            </w:pPr>
            <w:r w:rsidRPr="008956E8">
              <w:rPr>
                <w:rFonts w:cs="Arial"/>
                <w:b/>
                <w:bCs/>
                <w:sz w:val="18"/>
                <w:szCs w:val="18"/>
              </w:rPr>
              <w:t>2016/17</w:t>
            </w:r>
          </w:p>
        </w:tc>
        <w:tc>
          <w:tcPr>
            <w:tcW w:w="1513" w:type="dxa"/>
            <w:tcBorders>
              <w:top w:val="nil"/>
              <w:left w:val="nil"/>
              <w:bottom w:val="nil"/>
              <w:right w:val="single" w:sz="8" w:space="0" w:color="auto"/>
            </w:tcBorders>
            <w:shd w:val="clear" w:color="000000" w:fill="F2F2F2"/>
            <w:vAlign w:val="center"/>
            <w:hideMark/>
          </w:tcPr>
          <w:p w14:paraId="2136CBF0" w14:textId="77777777" w:rsidR="002C7F5B" w:rsidRPr="007B528D" w:rsidRDefault="002C7F5B" w:rsidP="000A5AB7">
            <w:pPr>
              <w:jc w:val="both"/>
              <w:rPr>
                <w:rFonts w:cs="Arial"/>
                <w:b/>
                <w:bCs/>
                <w:color w:val="000000"/>
                <w:sz w:val="18"/>
                <w:szCs w:val="18"/>
              </w:rPr>
            </w:pPr>
            <w:r>
              <w:rPr>
                <w:rFonts w:cs="Arial"/>
                <w:b/>
                <w:bCs/>
                <w:color w:val="000000"/>
                <w:sz w:val="18"/>
                <w:szCs w:val="18"/>
              </w:rPr>
              <w:t xml:space="preserve">         2017/18 </w:t>
            </w:r>
            <w:r w:rsidRPr="007B528D">
              <w:rPr>
                <w:rFonts w:cs="Arial"/>
                <w:b/>
                <w:bCs/>
                <w:color w:val="000000"/>
                <w:sz w:val="18"/>
                <w:szCs w:val="18"/>
              </w:rPr>
              <w:t> </w:t>
            </w:r>
          </w:p>
        </w:tc>
        <w:tc>
          <w:tcPr>
            <w:tcW w:w="132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4E3A75BA" w14:textId="77777777" w:rsidR="002C7F5B" w:rsidRPr="007B528D" w:rsidRDefault="002C7F5B" w:rsidP="000A5AB7">
            <w:pPr>
              <w:jc w:val="both"/>
              <w:rPr>
                <w:rFonts w:cs="Arial"/>
                <w:b/>
                <w:bCs/>
                <w:color w:val="000000"/>
                <w:sz w:val="18"/>
                <w:szCs w:val="18"/>
              </w:rPr>
            </w:pPr>
            <w:r w:rsidRPr="007B528D">
              <w:rPr>
                <w:rFonts w:cs="Arial"/>
                <w:b/>
                <w:bCs/>
                <w:color w:val="000000"/>
                <w:sz w:val="18"/>
                <w:szCs w:val="18"/>
              </w:rPr>
              <w:t>Q1 2018/19</w:t>
            </w:r>
          </w:p>
        </w:tc>
        <w:tc>
          <w:tcPr>
            <w:tcW w:w="867" w:type="dxa"/>
            <w:vMerge w:val="restart"/>
            <w:tcBorders>
              <w:top w:val="nil"/>
              <w:left w:val="single" w:sz="8" w:space="0" w:color="auto"/>
              <w:bottom w:val="single" w:sz="8" w:space="0" w:color="000000"/>
              <w:right w:val="single" w:sz="8" w:space="0" w:color="auto"/>
            </w:tcBorders>
            <w:shd w:val="clear" w:color="000000" w:fill="F2F2F2"/>
            <w:vAlign w:val="center"/>
          </w:tcPr>
          <w:p w14:paraId="33C33B9C" w14:textId="77777777" w:rsidR="002C7F5B" w:rsidRPr="0063726B" w:rsidRDefault="002C7F5B" w:rsidP="000A5AB7">
            <w:pPr>
              <w:jc w:val="both"/>
              <w:rPr>
                <w:rFonts w:cs="Arial"/>
                <w:b/>
                <w:bCs/>
                <w:color w:val="FF0000"/>
                <w:sz w:val="18"/>
                <w:szCs w:val="18"/>
              </w:rPr>
            </w:pPr>
            <w:r>
              <w:rPr>
                <w:rFonts w:cs="Arial"/>
                <w:b/>
                <w:bCs/>
                <w:color w:val="000000"/>
                <w:sz w:val="18"/>
                <w:szCs w:val="18"/>
              </w:rPr>
              <w:t xml:space="preserve">Q2 </w:t>
            </w:r>
            <w:r w:rsidRPr="007B528D">
              <w:rPr>
                <w:rFonts w:cs="Arial"/>
                <w:b/>
                <w:bCs/>
                <w:color w:val="000000"/>
                <w:sz w:val="18"/>
                <w:szCs w:val="18"/>
              </w:rPr>
              <w:t>2018/19</w:t>
            </w:r>
          </w:p>
        </w:tc>
        <w:tc>
          <w:tcPr>
            <w:tcW w:w="867" w:type="dxa"/>
            <w:vMerge w:val="restart"/>
            <w:tcBorders>
              <w:top w:val="nil"/>
              <w:left w:val="single" w:sz="8" w:space="0" w:color="auto"/>
              <w:right w:val="single" w:sz="8" w:space="0" w:color="auto"/>
            </w:tcBorders>
            <w:shd w:val="clear" w:color="000000" w:fill="F2F2F2"/>
            <w:vAlign w:val="center"/>
          </w:tcPr>
          <w:p w14:paraId="63D29DBF" w14:textId="77777777" w:rsidR="002C7F5B" w:rsidRPr="0003012F" w:rsidRDefault="002C7F5B" w:rsidP="000A5AB7">
            <w:pPr>
              <w:jc w:val="both"/>
              <w:rPr>
                <w:rFonts w:cs="Arial"/>
                <w:b/>
                <w:bCs/>
                <w:sz w:val="18"/>
                <w:szCs w:val="18"/>
              </w:rPr>
            </w:pPr>
            <w:r w:rsidRPr="0003012F">
              <w:rPr>
                <w:rFonts w:cs="Arial"/>
                <w:b/>
                <w:bCs/>
                <w:sz w:val="18"/>
                <w:szCs w:val="18"/>
              </w:rPr>
              <w:t>Q3 2018/19</w:t>
            </w:r>
          </w:p>
        </w:tc>
        <w:tc>
          <w:tcPr>
            <w:tcW w:w="110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21FA8C91" w14:textId="77777777" w:rsidR="002C7F5B" w:rsidRPr="0003012F" w:rsidRDefault="002C7F5B" w:rsidP="000A5AB7">
            <w:pPr>
              <w:jc w:val="both"/>
              <w:rPr>
                <w:rFonts w:cs="Arial"/>
                <w:b/>
                <w:bCs/>
                <w:sz w:val="18"/>
                <w:szCs w:val="18"/>
              </w:rPr>
            </w:pPr>
            <w:r w:rsidRPr="0003012F">
              <w:rPr>
                <w:rFonts w:cs="Arial"/>
                <w:b/>
                <w:bCs/>
                <w:sz w:val="18"/>
                <w:szCs w:val="18"/>
              </w:rPr>
              <w:t>England Average</w:t>
            </w:r>
          </w:p>
        </w:tc>
      </w:tr>
      <w:tr w:rsidR="007F38FB" w:rsidRPr="007B528D" w14:paraId="001DBD7A" w14:textId="77777777" w:rsidTr="00407851">
        <w:trPr>
          <w:trHeight w:val="60"/>
        </w:trPr>
        <w:tc>
          <w:tcPr>
            <w:tcW w:w="2393" w:type="dxa"/>
            <w:vMerge/>
            <w:tcBorders>
              <w:top w:val="nil"/>
              <w:left w:val="single" w:sz="8" w:space="0" w:color="auto"/>
              <w:bottom w:val="single" w:sz="8" w:space="0" w:color="000000"/>
              <w:right w:val="single" w:sz="8" w:space="0" w:color="auto"/>
            </w:tcBorders>
            <w:vAlign w:val="center"/>
            <w:hideMark/>
          </w:tcPr>
          <w:p w14:paraId="32E4B353" w14:textId="77777777" w:rsidR="002C7F5B" w:rsidRPr="007B528D" w:rsidRDefault="002C7F5B" w:rsidP="000A5AB7">
            <w:pPr>
              <w:jc w:val="both"/>
              <w:rPr>
                <w:rFonts w:cs="Arial"/>
                <w:b/>
                <w:bCs/>
                <w:color w:val="000000"/>
                <w:sz w:val="18"/>
                <w:szCs w:val="18"/>
              </w:rPr>
            </w:pPr>
          </w:p>
        </w:tc>
        <w:tc>
          <w:tcPr>
            <w:tcW w:w="888" w:type="dxa"/>
            <w:vMerge/>
            <w:tcBorders>
              <w:top w:val="nil"/>
              <w:left w:val="single" w:sz="8" w:space="0" w:color="auto"/>
              <w:bottom w:val="single" w:sz="8" w:space="0" w:color="000000"/>
              <w:right w:val="single" w:sz="8" w:space="0" w:color="auto"/>
            </w:tcBorders>
            <w:vAlign w:val="center"/>
            <w:hideMark/>
          </w:tcPr>
          <w:p w14:paraId="0AC052B8" w14:textId="77777777" w:rsidR="002C7F5B" w:rsidRPr="007B528D" w:rsidRDefault="002C7F5B" w:rsidP="000A5AB7">
            <w:pPr>
              <w:jc w:val="both"/>
              <w:rPr>
                <w:rFonts w:cs="Arial"/>
                <w:b/>
                <w:bCs/>
                <w:color w:val="000000"/>
                <w:sz w:val="18"/>
                <w:szCs w:val="18"/>
              </w:rPr>
            </w:pPr>
          </w:p>
        </w:tc>
        <w:tc>
          <w:tcPr>
            <w:tcW w:w="972" w:type="dxa"/>
            <w:vMerge/>
            <w:tcBorders>
              <w:top w:val="nil"/>
              <w:left w:val="single" w:sz="8" w:space="0" w:color="auto"/>
              <w:bottom w:val="single" w:sz="8" w:space="0" w:color="000000"/>
              <w:right w:val="single" w:sz="8" w:space="0" w:color="auto"/>
            </w:tcBorders>
            <w:vAlign w:val="center"/>
            <w:hideMark/>
          </w:tcPr>
          <w:p w14:paraId="0F320EF9" w14:textId="77777777" w:rsidR="002C7F5B" w:rsidRPr="008956E8" w:rsidRDefault="002C7F5B" w:rsidP="000A5AB7">
            <w:pPr>
              <w:jc w:val="both"/>
              <w:rPr>
                <w:rFonts w:cs="Arial"/>
                <w:b/>
                <w:bCs/>
                <w:sz w:val="18"/>
                <w:szCs w:val="18"/>
              </w:rPr>
            </w:pPr>
          </w:p>
        </w:tc>
        <w:tc>
          <w:tcPr>
            <w:tcW w:w="1513" w:type="dxa"/>
            <w:tcBorders>
              <w:top w:val="nil"/>
              <w:left w:val="nil"/>
              <w:bottom w:val="nil"/>
              <w:right w:val="single" w:sz="8" w:space="0" w:color="auto"/>
            </w:tcBorders>
            <w:shd w:val="clear" w:color="000000" w:fill="F2F2F2"/>
            <w:vAlign w:val="center"/>
            <w:hideMark/>
          </w:tcPr>
          <w:p w14:paraId="0E752DCB" w14:textId="77777777" w:rsidR="002C7F5B" w:rsidRPr="007B528D" w:rsidRDefault="002C7F5B" w:rsidP="000A5AB7">
            <w:pPr>
              <w:jc w:val="both"/>
              <w:rPr>
                <w:rFonts w:cs="Arial"/>
                <w:b/>
                <w:bCs/>
                <w:color w:val="000000"/>
                <w:sz w:val="18"/>
                <w:szCs w:val="18"/>
              </w:rPr>
            </w:pPr>
          </w:p>
        </w:tc>
        <w:tc>
          <w:tcPr>
            <w:tcW w:w="1321" w:type="dxa"/>
            <w:vMerge/>
            <w:tcBorders>
              <w:top w:val="nil"/>
              <w:left w:val="single" w:sz="8" w:space="0" w:color="auto"/>
              <w:bottom w:val="single" w:sz="8" w:space="0" w:color="000000"/>
              <w:right w:val="single" w:sz="8" w:space="0" w:color="auto"/>
            </w:tcBorders>
            <w:vAlign w:val="center"/>
            <w:hideMark/>
          </w:tcPr>
          <w:p w14:paraId="406A753A" w14:textId="77777777" w:rsidR="002C7F5B" w:rsidRPr="007B528D" w:rsidRDefault="002C7F5B" w:rsidP="000A5AB7">
            <w:pPr>
              <w:jc w:val="both"/>
              <w:rPr>
                <w:rFonts w:cs="Arial"/>
                <w:b/>
                <w:bCs/>
                <w:color w:val="000000"/>
                <w:sz w:val="18"/>
                <w:szCs w:val="18"/>
              </w:rPr>
            </w:pPr>
          </w:p>
        </w:tc>
        <w:tc>
          <w:tcPr>
            <w:tcW w:w="867" w:type="dxa"/>
            <w:vMerge/>
            <w:tcBorders>
              <w:top w:val="nil"/>
              <w:left w:val="single" w:sz="8" w:space="0" w:color="auto"/>
              <w:bottom w:val="single" w:sz="8" w:space="0" w:color="000000"/>
              <w:right w:val="single" w:sz="8" w:space="0" w:color="auto"/>
            </w:tcBorders>
            <w:vAlign w:val="center"/>
          </w:tcPr>
          <w:p w14:paraId="4F1FF98D" w14:textId="77777777" w:rsidR="002C7F5B" w:rsidRPr="007B528D" w:rsidRDefault="002C7F5B" w:rsidP="000A5AB7">
            <w:pPr>
              <w:jc w:val="both"/>
              <w:rPr>
                <w:rFonts w:cs="Arial"/>
                <w:b/>
                <w:bCs/>
                <w:color w:val="000000"/>
                <w:sz w:val="18"/>
                <w:szCs w:val="18"/>
              </w:rPr>
            </w:pPr>
          </w:p>
        </w:tc>
        <w:tc>
          <w:tcPr>
            <w:tcW w:w="867" w:type="dxa"/>
            <w:vMerge/>
            <w:tcBorders>
              <w:left w:val="single" w:sz="8" w:space="0" w:color="auto"/>
              <w:bottom w:val="single" w:sz="8" w:space="0" w:color="000000"/>
              <w:right w:val="single" w:sz="8" w:space="0" w:color="auto"/>
            </w:tcBorders>
          </w:tcPr>
          <w:p w14:paraId="18B57B01" w14:textId="77777777" w:rsidR="002C7F5B" w:rsidRPr="0003012F" w:rsidRDefault="002C7F5B" w:rsidP="000A5AB7">
            <w:pPr>
              <w:jc w:val="both"/>
              <w:rPr>
                <w:rFonts w:cs="Arial"/>
                <w:b/>
                <w:bCs/>
                <w:sz w:val="18"/>
                <w:szCs w:val="18"/>
              </w:rPr>
            </w:pPr>
          </w:p>
        </w:tc>
        <w:tc>
          <w:tcPr>
            <w:tcW w:w="1102" w:type="dxa"/>
            <w:vMerge/>
            <w:tcBorders>
              <w:top w:val="nil"/>
              <w:left w:val="single" w:sz="8" w:space="0" w:color="auto"/>
              <w:bottom w:val="single" w:sz="8" w:space="0" w:color="000000"/>
              <w:right w:val="single" w:sz="8" w:space="0" w:color="auto"/>
            </w:tcBorders>
            <w:vAlign w:val="center"/>
            <w:hideMark/>
          </w:tcPr>
          <w:p w14:paraId="053C949B" w14:textId="77777777" w:rsidR="002C7F5B" w:rsidRPr="0003012F" w:rsidRDefault="002C7F5B" w:rsidP="000A5AB7">
            <w:pPr>
              <w:jc w:val="both"/>
              <w:rPr>
                <w:rFonts w:cs="Arial"/>
                <w:b/>
                <w:bCs/>
                <w:sz w:val="18"/>
                <w:szCs w:val="18"/>
              </w:rPr>
            </w:pPr>
          </w:p>
        </w:tc>
      </w:tr>
      <w:tr w:rsidR="007F38FB" w:rsidRPr="007B528D" w14:paraId="79847681" w14:textId="77777777" w:rsidTr="00237F19">
        <w:trPr>
          <w:trHeight w:val="60"/>
        </w:trPr>
        <w:tc>
          <w:tcPr>
            <w:tcW w:w="2393" w:type="dxa"/>
            <w:tcBorders>
              <w:top w:val="nil"/>
              <w:left w:val="single" w:sz="8" w:space="0" w:color="auto"/>
              <w:bottom w:val="single" w:sz="4" w:space="0" w:color="auto"/>
              <w:right w:val="nil"/>
            </w:tcBorders>
            <w:shd w:val="clear" w:color="auto" w:fill="auto"/>
            <w:vAlign w:val="center"/>
            <w:hideMark/>
          </w:tcPr>
          <w:p w14:paraId="0FFAA985" w14:textId="77777777" w:rsidR="002C7F5B" w:rsidRPr="007B528D" w:rsidRDefault="002C7F5B" w:rsidP="000A5AB7">
            <w:pPr>
              <w:jc w:val="both"/>
              <w:rPr>
                <w:rFonts w:cs="Arial"/>
                <w:color w:val="000000"/>
                <w:sz w:val="18"/>
                <w:szCs w:val="18"/>
              </w:rPr>
            </w:pPr>
            <w:r w:rsidRPr="007B528D">
              <w:rPr>
                <w:rFonts w:cs="Arial"/>
                <w:color w:val="000000"/>
                <w:sz w:val="18"/>
                <w:szCs w:val="18"/>
              </w:rPr>
              <w:t>- Number of families attached to the programme</w:t>
            </w:r>
          </w:p>
        </w:tc>
        <w:tc>
          <w:tcPr>
            <w:tcW w:w="888" w:type="dxa"/>
            <w:tcBorders>
              <w:top w:val="nil"/>
              <w:left w:val="single" w:sz="8" w:space="0" w:color="auto"/>
              <w:bottom w:val="single" w:sz="4" w:space="0" w:color="auto"/>
              <w:right w:val="single" w:sz="8" w:space="0" w:color="auto"/>
            </w:tcBorders>
            <w:shd w:val="clear" w:color="auto" w:fill="auto"/>
            <w:vAlign w:val="center"/>
            <w:hideMark/>
          </w:tcPr>
          <w:p w14:paraId="1E460FA3" w14:textId="77777777" w:rsidR="002C7F5B" w:rsidRPr="007B528D" w:rsidRDefault="002C7F5B" w:rsidP="000A5AB7">
            <w:pPr>
              <w:jc w:val="both"/>
              <w:rPr>
                <w:rFonts w:cs="Arial"/>
                <w:color w:val="000000"/>
                <w:sz w:val="18"/>
                <w:szCs w:val="18"/>
              </w:rPr>
            </w:pPr>
            <w:r w:rsidRPr="007B528D">
              <w:rPr>
                <w:rFonts w:cs="Arial"/>
                <w:color w:val="000000"/>
                <w:sz w:val="18"/>
                <w:szCs w:val="18"/>
              </w:rPr>
              <w:t>H</w:t>
            </w:r>
          </w:p>
        </w:tc>
        <w:tc>
          <w:tcPr>
            <w:tcW w:w="972" w:type="dxa"/>
            <w:tcBorders>
              <w:top w:val="nil"/>
              <w:left w:val="nil"/>
              <w:bottom w:val="single" w:sz="4" w:space="0" w:color="auto"/>
              <w:right w:val="single" w:sz="8" w:space="0" w:color="auto"/>
            </w:tcBorders>
            <w:shd w:val="clear" w:color="auto" w:fill="auto"/>
            <w:vAlign w:val="center"/>
            <w:hideMark/>
          </w:tcPr>
          <w:p w14:paraId="00D2AA87" w14:textId="77777777" w:rsidR="002C7F5B" w:rsidRPr="008956E8" w:rsidRDefault="002C7F5B" w:rsidP="000A5AB7">
            <w:pPr>
              <w:jc w:val="both"/>
              <w:rPr>
                <w:rFonts w:cs="Arial"/>
                <w:sz w:val="18"/>
                <w:szCs w:val="18"/>
              </w:rPr>
            </w:pPr>
            <w:r w:rsidRPr="008956E8">
              <w:rPr>
                <w:rFonts w:cs="Arial"/>
                <w:sz w:val="18"/>
                <w:szCs w:val="18"/>
              </w:rPr>
              <w:t>4,305 (Q4, 2016/17)</w:t>
            </w:r>
          </w:p>
        </w:tc>
        <w:tc>
          <w:tcPr>
            <w:tcW w:w="1513" w:type="dxa"/>
            <w:tcBorders>
              <w:top w:val="single" w:sz="8" w:space="0" w:color="auto"/>
              <w:left w:val="nil"/>
              <w:bottom w:val="single" w:sz="4" w:space="0" w:color="auto"/>
              <w:right w:val="single" w:sz="8" w:space="0" w:color="auto"/>
            </w:tcBorders>
            <w:shd w:val="clear" w:color="auto" w:fill="auto"/>
            <w:vAlign w:val="center"/>
            <w:hideMark/>
          </w:tcPr>
          <w:p w14:paraId="2CE4BF95" w14:textId="77777777" w:rsidR="002C7F5B" w:rsidRPr="007B528D" w:rsidRDefault="002C7F5B" w:rsidP="000A5AB7">
            <w:pPr>
              <w:jc w:val="both"/>
              <w:rPr>
                <w:rFonts w:cs="Arial"/>
                <w:color w:val="000000"/>
                <w:sz w:val="18"/>
                <w:szCs w:val="18"/>
              </w:rPr>
            </w:pPr>
            <w:r w:rsidRPr="007B528D">
              <w:rPr>
                <w:rFonts w:cs="Arial"/>
                <w:color w:val="000000"/>
                <w:sz w:val="18"/>
                <w:szCs w:val="18"/>
              </w:rPr>
              <w:t>8,647</w:t>
            </w:r>
          </w:p>
        </w:tc>
        <w:tc>
          <w:tcPr>
            <w:tcW w:w="1321" w:type="dxa"/>
            <w:tcBorders>
              <w:top w:val="single" w:sz="4" w:space="0" w:color="auto"/>
              <w:left w:val="nil"/>
              <w:bottom w:val="single" w:sz="4" w:space="0" w:color="auto"/>
              <w:right w:val="single" w:sz="4" w:space="0" w:color="auto"/>
            </w:tcBorders>
            <w:vAlign w:val="center"/>
            <w:hideMark/>
          </w:tcPr>
          <w:p w14:paraId="5E9675FE" w14:textId="77777777" w:rsidR="002C7F5B" w:rsidRPr="007B528D" w:rsidRDefault="002C7F5B" w:rsidP="000A5AB7">
            <w:pPr>
              <w:jc w:val="both"/>
              <w:rPr>
                <w:rFonts w:cs="Arial"/>
                <w:color w:val="000000"/>
                <w:sz w:val="18"/>
                <w:szCs w:val="18"/>
              </w:rPr>
            </w:pPr>
            <w:r>
              <w:rPr>
                <w:rFonts w:cs="Arial"/>
                <w:color w:val="000000"/>
                <w:sz w:val="18"/>
                <w:szCs w:val="18"/>
              </w:rPr>
              <w:t>10,169</w:t>
            </w:r>
          </w:p>
        </w:tc>
        <w:tc>
          <w:tcPr>
            <w:tcW w:w="867" w:type="dxa"/>
            <w:tcBorders>
              <w:top w:val="nil"/>
              <w:left w:val="nil"/>
              <w:bottom w:val="single" w:sz="4" w:space="0" w:color="auto"/>
              <w:right w:val="single" w:sz="8" w:space="0" w:color="auto"/>
            </w:tcBorders>
            <w:shd w:val="clear" w:color="auto" w:fill="auto"/>
            <w:vAlign w:val="center"/>
          </w:tcPr>
          <w:p w14:paraId="4D3985D3" w14:textId="77777777" w:rsidR="002C7F5B" w:rsidRPr="007B528D" w:rsidRDefault="002C7F5B" w:rsidP="000A5AB7">
            <w:pPr>
              <w:jc w:val="both"/>
              <w:rPr>
                <w:rFonts w:cs="Arial"/>
                <w:color w:val="000000"/>
                <w:sz w:val="18"/>
                <w:szCs w:val="18"/>
              </w:rPr>
            </w:pPr>
            <w:r>
              <w:rPr>
                <w:rFonts w:cs="Arial"/>
                <w:color w:val="000000"/>
                <w:sz w:val="18"/>
                <w:szCs w:val="18"/>
              </w:rPr>
              <w:t>12,498</w:t>
            </w:r>
          </w:p>
        </w:tc>
        <w:tc>
          <w:tcPr>
            <w:tcW w:w="867"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32CFCB11" w14:textId="77777777" w:rsidR="002C7F5B" w:rsidRPr="0003012F" w:rsidRDefault="002C7F5B" w:rsidP="000A5AB7">
            <w:pPr>
              <w:jc w:val="both"/>
              <w:rPr>
                <w:rFonts w:cs="Arial"/>
                <w:sz w:val="18"/>
                <w:szCs w:val="18"/>
              </w:rPr>
            </w:pPr>
            <w:r w:rsidRPr="0003012F">
              <w:rPr>
                <w:rFonts w:cs="Arial"/>
                <w:sz w:val="18"/>
                <w:szCs w:val="18"/>
              </w:rPr>
              <w:t>14,164</w:t>
            </w:r>
          </w:p>
        </w:tc>
        <w:tc>
          <w:tcPr>
            <w:tcW w:w="1102" w:type="dxa"/>
            <w:tcBorders>
              <w:top w:val="nil"/>
              <w:left w:val="single" w:sz="4" w:space="0" w:color="auto"/>
              <w:bottom w:val="single" w:sz="4" w:space="0" w:color="auto"/>
              <w:right w:val="single" w:sz="8" w:space="0" w:color="auto"/>
            </w:tcBorders>
            <w:shd w:val="clear" w:color="auto" w:fill="auto"/>
            <w:vAlign w:val="center"/>
            <w:hideMark/>
          </w:tcPr>
          <w:p w14:paraId="68AE15BA" w14:textId="77777777" w:rsidR="002C7F5B" w:rsidRPr="0003012F" w:rsidRDefault="002C7F5B" w:rsidP="000A5AB7">
            <w:pPr>
              <w:jc w:val="both"/>
              <w:rPr>
                <w:rFonts w:cs="Arial"/>
                <w:sz w:val="18"/>
                <w:szCs w:val="18"/>
              </w:rPr>
            </w:pPr>
            <w:r w:rsidRPr="0003012F">
              <w:rPr>
                <w:rFonts w:cs="Arial"/>
                <w:sz w:val="18"/>
                <w:szCs w:val="18"/>
              </w:rPr>
              <w:t>n/a</w:t>
            </w:r>
          </w:p>
        </w:tc>
      </w:tr>
      <w:tr w:rsidR="007F38FB" w:rsidRPr="007B528D" w14:paraId="17AD31E1" w14:textId="77777777" w:rsidTr="00237F19">
        <w:trPr>
          <w:trHeight w:val="60"/>
        </w:trPr>
        <w:tc>
          <w:tcPr>
            <w:tcW w:w="2393" w:type="dxa"/>
            <w:tcBorders>
              <w:top w:val="single" w:sz="4" w:space="0" w:color="auto"/>
              <w:left w:val="single" w:sz="8" w:space="0" w:color="auto"/>
              <w:bottom w:val="single" w:sz="8" w:space="0" w:color="auto"/>
              <w:right w:val="nil"/>
            </w:tcBorders>
            <w:shd w:val="clear" w:color="auto" w:fill="auto"/>
            <w:vAlign w:val="center"/>
            <w:hideMark/>
          </w:tcPr>
          <w:p w14:paraId="69C32F51" w14:textId="77777777" w:rsidR="002C7F5B" w:rsidRPr="007B528D" w:rsidRDefault="002C7F5B" w:rsidP="000A5AB7">
            <w:pPr>
              <w:jc w:val="both"/>
              <w:rPr>
                <w:rFonts w:cs="Arial"/>
                <w:color w:val="000000"/>
                <w:sz w:val="18"/>
                <w:szCs w:val="18"/>
              </w:rPr>
            </w:pPr>
            <w:r w:rsidRPr="007B528D">
              <w:rPr>
                <w:rFonts w:cs="Arial"/>
                <w:color w:val="000000"/>
                <w:sz w:val="18"/>
                <w:szCs w:val="18"/>
              </w:rPr>
              <w:t>- Payment by results claims (submitted to the DCLG)</w:t>
            </w:r>
          </w:p>
        </w:tc>
        <w:tc>
          <w:tcPr>
            <w:tcW w:w="88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FFB2B63" w14:textId="77777777" w:rsidR="002C7F5B" w:rsidRPr="007B528D" w:rsidRDefault="002C7F5B" w:rsidP="000A5AB7">
            <w:pPr>
              <w:jc w:val="both"/>
              <w:rPr>
                <w:rFonts w:cs="Arial"/>
                <w:color w:val="000000"/>
                <w:sz w:val="18"/>
                <w:szCs w:val="18"/>
              </w:rPr>
            </w:pPr>
            <w:r w:rsidRPr="007B528D">
              <w:rPr>
                <w:rFonts w:cs="Arial"/>
                <w:color w:val="000000"/>
                <w:sz w:val="18"/>
                <w:szCs w:val="18"/>
              </w:rPr>
              <w:t>H</w:t>
            </w:r>
          </w:p>
        </w:tc>
        <w:tc>
          <w:tcPr>
            <w:tcW w:w="972" w:type="dxa"/>
            <w:tcBorders>
              <w:top w:val="single" w:sz="4" w:space="0" w:color="auto"/>
              <w:left w:val="nil"/>
              <w:bottom w:val="single" w:sz="8" w:space="0" w:color="auto"/>
              <w:right w:val="single" w:sz="8" w:space="0" w:color="auto"/>
            </w:tcBorders>
            <w:shd w:val="clear" w:color="auto" w:fill="auto"/>
            <w:vAlign w:val="center"/>
            <w:hideMark/>
          </w:tcPr>
          <w:p w14:paraId="61BC638F" w14:textId="77777777" w:rsidR="002C7F5B" w:rsidRPr="008956E8" w:rsidRDefault="002C7F5B" w:rsidP="000A5AB7">
            <w:pPr>
              <w:jc w:val="both"/>
              <w:rPr>
                <w:rFonts w:cs="Arial"/>
                <w:sz w:val="18"/>
                <w:szCs w:val="18"/>
              </w:rPr>
            </w:pPr>
            <w:r w:rsidRPr="008956E8">
              <w:rPr>
                <w:rFonts w:cs="Arial"/>
                <w:sz w:val="18"/>
                <w:szCs w:val="18"/>
              </w:rPr>
              <w:t>841 (2017)</w:t>
            </w:r>
          </w:p>
        </w:tc>
        <w:tc>
          <w:tcPr>
            <w:tcW w:w="1513" w:type="dxa"/>
            <w:tcBorders>
              <w:top w:val="single" w:sz="4" w:space="0" w:color="auto"/>
              <w:left w:val="nil"/>
              <w:bottom w:val="single" w:sz="8" w:space="0" w:color="auto"/>
              <w:right w:val="single" w:sz="8" w:space="0" w:color="auto"/>
            </w:tcBorders>
            <w:shd w:val="clear" w:color="auto" w:fill="auto"/>
            <w:vAlign w:val="center"/>
            <w:hideMark/>
          </w:tcPr>
          <w:p w14:paraId="134442B0" w14:textId="77777777" w:rsidR="002C7F5B" w:rsidRPr="007B528D" w:rsidRDefault="002C7F5B" w:rsidP="000A5AB7">
            <w:pPr>
              <w:jc w:val="both"/>
              <w:rPr>
                <w:rFonts w:cs="Arial"/>
                <w:color w:val="000000"/>
                <w:sz w:val="18"/>
                <w:szCs w:val="18"/>
              </w:rPr>
            </w:pPr>
            <w:r w:rsidRPr="007B528D">
              <w:rPr>
                <w:rFonts w:cs="Arial"/>
                <w:color w:val="000000"/>
                <w:sz w:val="18"/>
                <w:szCs w:val="18"/>
              </w:rPr>
              <w:t>2,097 (rolling figure)</w:t>
            </w:r>
          </w:p>
        </w:tc>
        <w:tc>
          <w:tcPr>
            <w:tcW w:w="1321" w:type="dxa"/>
            <w:tcBorders>
              <w:top w:val="single" w:sz="4" w:space="0" w:color="auto"/>
              <w:left w:val="nil"/>
              <w:bottom w:val="single" w:sz="8" w:space="0" w:color="auto"/>
              <w:right w:val="single" w:sz="4" w:space="0" w:color="auto"/>
            </w:tcBorders>
            <w:vAlign w:val="center"/>
            <w:hideMark/>
          </w:tcPr>
          <w:p w14:paraId="3CBF1655" w14:textId="77777777" w:rsidR="002C7F5B" w:rsidRPr="007B528D" w:rsidRDefault="002C7F5B" w:rsidP="000A5AB7">
            <w:pPr>
              <w:jc w:val="both"/>
              <w:rPr>
                <w:rFonts w:cs="Arial"/>
                <w:color w:val="000000"/>
                <w:sz w:val="18"/>
                <w:szCs w:val="18"/>
              </w:rPr>
            </w:pPr>
            <w:r>
              <w:rPr>
                <w:rFonts w:cs="Arial"/>
                <w:color w:val="000000"/>
                <w:sz w:val="18"/>
                <w:szCs w:val="18"/>
              </w:rPr>
              <w:t>2,409</w:t>
            </w:r>
          </w:p>
        </w:tc>
        <w:tc>
          <w:tcPr>
            <w:tcW w:w="867" w:type="dxa"/>
            <w:tcBorders>
              <w:top w:val="nil"/>
              <w:left w:val="nil"/>
              <w:bottom w:val="single" w:sz="8" w:space="0" w:color="auto"/>
              <w:right w:val="single" w:sz="8" w:space="0" w:color="auto"/>
            </w:tcBorders>
            <w:shd w:val="clear" w:color="auto" w:fill="auto"/>
            <w:vAlign w:val="center"/>
          </w:tcPr>
          <w:p w14:paraId="09C87DCB" w14:textId="77777777" w:rsidR="002C7F5B" w:rsidRPr="007B528D" w:rsidRDefault="002C7F5B" w:rsidP="000A5AB7">
            <w:pPr>
              <w:jc w:val="both"/>
              <w:rPr>
                <w:rFonts w:cs="Arial"/>
                <w:color w:val="000000"/>
                <w:sz w:val="18"/>
                <w:szCs w:val="18"/>
              </w:rPr>
            </w:pPr>
            <w:r>
              <w:rPr>
                <w:rFonts w:cs="Arial"/>
                <w:color w:val="000000"/>
                <w:sz w:val="18"/>
                <w:szCs w:val="18"/>
              </w:rPr>
              <w:t>2,740</w:t>
            </w:r>
          </w:p>
        </w:tc>
        <w:tc>
          <w:tcPr>
            <w:tcW w:w="867" w:type="dxa"/>
            <w:tcBorders>
              <w:top w:val="nil"/>
              <w:left w:val="nil"/>
              <w:bottom w:val="single" w:sz="8" w:space="0" w:color="auto"/>
              <w:right w:val="single" w:sz="4" w:space="0" w:color="auto"/>
            </w:tcBorders>
            <w:shd w:val="clear" w:color="auto" w:fill="C5E0B3" w:themeFill="accent6" w:themeFillTint="66"/>
            <w:vAlign w:val="center"/>
          </w:tcPr>
          <w:p w14:paraId="6B8E9016" w14:textId="77777777" w:rsidR="002C7F5B" w:rsidRPr="0003012F" w:rsidRDefault="002C7F5B" w:rsidP="000A5AB7">
            <w:pPr>
              <w:jc w:val="both"/>
              <w:rPr>
                <w:rFonts w:cs="Arial"/>
                <w:sz w:val="18"/>
                <w:szCs w:val="18"/>
              </w:rPr>
            </w:pPr>
            <w:r>
              <w:rPr>
                <w:rFonts w:cs="Arial"/>
                <w:sz w:val="18"/>
                <w:szCs w:val="18"/>
              </w:rPr>
              <w:t>3,158</w:t>
            </w:r>
          </w:p>
        </w:tc>
        <w:tc>
          <w:tcPr>
            <w:tcW w:w="1102" w:type="dxa"/>
            <w:tcBorders>
              <w:top w:val="nil"/>
              <w:left w:val="single" w:sz="4" w:space="0" w:color="auto"/>
              <w:bottom w:val="single" w:sz="8" w:space="0" w:color="auto"/>
              <w:right w:val="single" w:sz="4" w:space="0" w:color="auto"/>
            </w:tcBorders>
            <w:hideMark/>
          </w:tcPr>
          <w:p w14:paraId="573A96CC" w14:textId="77777777" w:rsidR="002C7F5B" w:rsidRPr="0003012F" w:rsidRDefault="002C7F5B" w:rsidP="000A5AB7">
            <w:pPr>
              <w:jc w:val="both"/>
              <w:rPr>
                <w:rFonts w:cs="Arial"/>
                <w:sz w:val="18"/>
                <w:szCs w:val="18"/>
              </w:rPr>
            </w:pPr>
          </w:p>
          <w:p w14:paraId="7DB80538" w14:textId="77777777" w:rsidR="002C7F5B" w:rsidRPr="0003012F" w:rsidRDefault="002C7F5B" w:rsidP="000A5AB7">
            <w:pPr>
              <w:jc w:val="both"/>
              <w:rPr>
                <w:rFonts w:cs="Arial"/>
                <w:sz w:val="18"/>
                <w:szCs w:val="18"/>
              </w:rPr>
            </w:pPr>
            <w:r w:rsidRPr="0003012F">
              <w:rPr>
                <w:rFonts w:cs="Arial"/>
                <w:sz w:val="18"/>
                <w:szCs w:val="18"/>
              </w:rPr>
              <w:t>n/a</w:t>
            </w:r>
          </w:p>
        </w:tc>
      </w:tr>
    </w:tbl>
    <w:p w14:paraId="035B8BE7" w14:textId="77777777" w:rsidR="00A259E6" w:rsidRPr="002E0A46" w:rsidRDefault="00A259E6" w:rsidP="000A5AB7">
      <w:pPr>
        <w:contextualSpacing/>
        <w:jc w:val="both"/>
        <w:rPr>
          <w:rFonts w:eastAsiaTheme="minorHAnsi" w:cs="Arial"/>
          <w:i/>
          <w:szCs w:val="24"/>
          <w:lang w:eastAsia="en-US"/>
        </w:rPr>
      </w:pPr>
    </w:p>
    <w:p w14:paraId="615B6EE5" w14:textId="77777777" w:rsidR="00AD58A2" w:rsidRDefault="00AD58A2" w:rsidP="000A5AB7">
      <w:pPr>
        <w:contextualSpacing/>
        <w:jc w:val="both"/>
        <w:rPr>
          <w:rFonts w:eastAsiaTheme="minorHAnsi" w:cs="Arial"/>
          <w:i/>
          <w:szCs w:val="24"/>
          <w:lang w:eastAsia="en-US"/>
        </w:rPr>
      </w:pPr>
      <w:r w:rsidRPr="002E0A46">
        <w:rPr>
          <w:rFonts w:eastAsiaTheme="minorHAnsi" w:cs="Arial"/>
          <w:i/>
          <w:szCs w:val="24"/>
          <w:lang w:eastAsia="en-US"/>
        </w:rPr>
        <w:t>Health Checks</w:t>
      </w:r>
    </w:p>
    <w:p w14:paraId="0BBA212F" w14:textId="234C284B" w:rsidR="00D33935" w:rsidRPr="00131A3A" w:rsidRDefault="00877320" w:rsidP="000A5AB7">
      <w:pPr>
        <w:contextualSpacing/>
        <w:jc w:val="both"/>
        <w:rPr>
          <w:rFonts w:eastAsiaTheme="minorHAnsi" w:cs="Arial"/>
          <w:i/>
          <w:color w:val="FF0000"/>
          <w:szCs w:val="24"/>
          <w:lang w:eastAsia="en-US"/>
        </w:rPr>
      </w:pPr>
      <w:r w:rsidRPr="009F6AEC">
        <w:rPr>
          <w:rFonts w:eastAsiaTheme="minorHAnsi" w:cs="Arial"/>
          <w:szCs w:val="24"/>
          <w:lang w:eastAsia="en-US"/>
        </w:rPr>
        <w:t>Across the lifetime of the</w:t>
      </w:r>
      <w:r w:rsidR="009F6AEC" w:rsidRPr="009F6AEC">
        <w:rPr>
          <w:rFonts w:eastAsiaTheme="minorHAnsi" w:cs="Arial"/>
          <w:szCs w:val="24"/>
          <w:lang w:eastAsia="en-US"/>
        </w:rPr>
        <w:t xml:space="preserve"> NHS Health Check programme, 238,694</w:t>
      </w:r>
      <w:r w:rsidRPr="009F6AEC">
        <w:rPr>
          <w:rFonts w:eastAsiaTheme="minorHAnsi" w:cs="Arial"/>
          <w:szCs w:val="24"/>
          <w:lang w:eastAsia="en-US"/>
        </w:rPr>
        <w:t xml:space="preserve"> of the current eligible population aged 40 – 74 years of 354,935 have had an NHS Health Check which equ</w:t>
      </w:r>
      <w:r w:rsidR="0046371F" w:rsidRPr="009F6AEC">
        <w:rPr>
          <w:rFonts w:eastAsiaTheme="minorHAnsi" w:cs="Arial"/>
          <w:szCs w:val="24"/>
          <w:lang w:eastAsia="en-US"/>
        </w:rPr>
        <w:t xml:space="preserve">ates to 63.2%.  </w:t>
      </w:r>
      <w:r w:rsidR="00662168" w:rsidRPr="00662168">
        <w:rPr>
          <w:rFonts w:eastAsiaTheme="minorHAnsi" w:cs="Arial"/>
          <w:szCs w:val="24"/>
          <w:lang w:eastAsia="en-US"/>
        </w:rPr>
        <w:t xml:space="preserve">Although </w:t>
      </w:r>
      <w:r w:rsidR="00E24A68">
        <w:rPr>
          <w:rFonts w:eastAsiaTheme="minorHAnsi" w:cs="Arial"/>
          <w:szCs w:val="24"/>
          <w:lang w:eastAsia="en-US"/>
        </w:rPr>
        <w:t>i</w:t>
      </w:r>
      <w:r w:rsidR="0046371F" w:rsidRPr="00662168">
        <w:rPr>
          <w:rFonts w:eastAsiaTheme="minorHAnsi" w:cs="Arial"/>
          <w:szCs w:val="24"/>
          <w:lang w:eastAsia="en-US"/>
        </w:rPr>
        <w:t xml:space="preserve">nvites to </w:t>
      </w:r>
      <w:r w:rsidR="00662168" w:rsidRPr="00662168">
        <w:rPr>
          <w:rFonts w:eastAsiaTheme="minorHAnsi" w:cs="Arial"/>
          <w:szCs w:val="24"/>
          <w:lang w:eastAsia="en-US"/>
        </w:rPr>
        <w:t>appointments in quarter 3</w:t>
      </w:r>
      <w:r w:rsidR="007C33FA">
        <w:rPr>
          <w:rFonts w:eastAsiaTheme="minorHAnsi" w:cs="Arial"/>
          <w:szCs w:val="24"/>
          <w:lang w:eastAsia="en-US"/>
        </w:rPr>
        <w:t xml:space="preserve"> of 2018/19 </w:t>
      </w:r>
      <w:r w:rsidR="00E24A68">
        <w:rPr>
          <w:rFonts w:eastAsiaTheme="minorHAnsi" w:cs="Arial"/>
          <w:szCs w:val="24"/>
          <w:lang w:eastAsia="en-US"/>
        </w:rPr>
        <w:t xml:space="preserve">were </w:t>
      </w:r>
      <w:r w:rsidR="007C33FA">
        <w:rPr>
          <w:rFonts w:eastAsiaTheme="minorHAnsi" w:cs="Arial"/>
          <w:szCs w:val="24"/>
          <w:lang w:eastAsia="en-US"/>
        </w:rPr>
        <w:t>low</w:t>
      </w:r>
      <w:r w:rsidR="00D33935" w:rsidRPr="00662168">
        <w:rPr>
          <w:rFonts w:eastAsiaTheme="minorHAnsi" w:cs="Arial"/>
          <w:szCs w:val="24"/>
          <w:lang w:eastAsia="en-US"/>
        </w:rPr>
        <w:t>er than in the previous quarter</w:t>
      </w:r>
      <w:r w:rsidR="00662168" w:rsidRPr="00662168">
        <w:rPr>
          <w:rFonts w:eastAsiaTheme="minorHAnsi" w:cs="Arial"/>
          <w:szCs w:val="24"/>
          <w:lang w:eastAsia="en-US"/>
        </w:rPr>
        <w:t>,</w:t>
      </w:r>
      <w:r w:rsidR="00E24A68">
        <w:rPr>
          <w:rFonts w:eastAsiaTheme="minorHAnsi" w:cs="Arial"/>
          <w:szCs w:val="24"/>
          <w:lang w:eastAsia="en-US"/>
        </w:rPr>
        <w:t xml:space="preserve"> the </w:t>
      </w:r>
      <w:r w:rsidR="00662168" w:rsidRPr="00662168">
        <w:rPr>
          <w:rFonts w:eastAsiaTheme="minorHAnsi" w:cs="Arial"/>
          <w:szCs w:val="24"/>
          <w:lang w:eastAsia="en-US"/>
        </w:rPr>
        <w:t xml:space="preserve">uptake was greater. </w:t>
      </w:r>
      <w:r w:rsidR="00D33935" w:rsidRPr="00662168">
        <w:rPr>
          <w:rFonts w:eastAsiaTheme="minorHAnsi" w:cs="Arial"/>
          <w:szCs w:val="24"/>
          <w:lang w:eastAsia="en-US"/>
        </w:rPr>
        <w:t xml:space="preserve"> </w:t>
      </w:r>
    </w:p>
    <w:p w14:paraId="7E97C151" w14:textId="77777777" w:rsidR="002D5D45" w:rsidRPr="002D5D45" w:rsidRDefault="002D5D45" w:rsidP="000A5AB7">
      <w:pPr>
        <w:jc w:val="both"/>
        <w:rPr>
          <w:rFonts w:eastAsiaTheme="minorHAnsi" w:cs="Arial"/>
          <w:i/>
          <w:szCs w:val="24"/>
          <w:lang w:eastAsia="en-US"/>
        </w:rPr>
      </w:pPr>
    </w:p>
    <w:p w14:paraId="1EE037F0" w14:textId="77777777" w:rsidR="002D5D45" w:rsidRPr="002D5D45" w:rsidRDefault="002D5D45" w:rsidP="000A5AB7">
      <w:pPr>
        <w:jc w:val="both"/>
        <w:rPr>
          <w:rFonts w:eastAsiaTheme="minorHAnsi" w:cs="Arial"/>
          <w:i/>
          <w:szCs w:val="24"/>
          <w:lang w:eastAsia="en-US"/>
        </w:rPr>
      </w:pPr>
      <w:r w:rsidRPr="002D5D45">
        <w:rPr>
          <w:rFonts w:eastAsiaTheme="minorHAnsi" w:cs="Arial"/>
          <w:i/>
          <w:szCs w:val="24"/>
          <w:lang w:eastAsia="en-US"/>
        </w:rPr>
        <w:t xml:space="preserve">Alcohol </w:t>
      </w:r>
    </w:p>
    <w:p w14:paraId="1ACEC13D" w14:textId="77777777" w:rsidR="00606888" w:rsidRPr="007F38FB" w:rsidRDefault="007F38FB" w:rsidP="000A5AB7">
      <w:pPr>
        <w:pStyle w:val="NoSpacing"/>
        <w:jc w:val="both"/>
        <w:rPr>
          <w:rFonts w:ascii="Arial" w:hAnsi="Arial" w:cs="Arial"/>
          <w:sz w:val="24"/>
          <w:szCs w:val="24"/>
        </w:rPr>
      </w:pPr>
      <w:r w:rsidRPr="007F38FB">
        <w:rPr>
          <w:rFonts w:ascii="Arial" w:hAnsi="Arial" w:cs="Arial"/>
          <w:sz w:val="24"/>
          <w:szCs w:val="24"/>
        </w:rPr>
        <w:t xml:space="preserve">Rolling </w:t>
      </w:r>
      <w:r w:rsidR="002D5D45" w:rsidRPr="007F38FB">
        <w:rPr>
          <w:rFonts w:ascii="Arial" w:hAnsi="Arial" w:cs="Arial"/>
          <w:sz w:val="24"/>
          <w:szCs w:val="24"/>
        </w:rPr>
        <w:t xml:space="preserve">data </w:t>
      </w:r>
      <w:r w:rsidRPr="007F38FB">
        <w:rPr>
          <w:rFonts w:ascii="Arial" w:hAnsi="Arial" w:cs="Arial"/>
          <w:sz w:val="24"/>
          <w:szCs w:val="24"/>
        </w:rPr>
        <w:t>for the year from July 2017 to June 2018 published in Dec</w:t>
      </w:r>
      <w:r w:rsidR="002D5D45" w:rsidRPr="007F38FB">
        <w:rPr>
          <w:rFonts w:ascii="Arial" w:hAnsi="Arial" w:cs="Arial"/>
          <w:sz w:val="24"/>
          <w:szCs w:val="24"/>
        </w:rPr>
        <w:t xml:space="preserve">ember 2018 showed that the proportion of alcohol users that left alcohol treatment successfully who do not re-present to treatment within 6 months was lower when compared to the previous </w:t>
      </w:r>
      <w:r w:rsidRPr="007F38FB">
        <w:rPr>
          <w:rFonts w:ascii="Arial" w:hAnsi="Arial" w:cs="Arial"/>
          <w:sz w:val="24"/>
          <w:szCs w:val="24"/>
        </w:rPr>
        <w:t>quar</w:t>
      </w:r>
      <w:r>
        <w:rPr>
          <w:rFonts w:ascii="Arial" w:hAnsi="Arial" w:cs="Arial"/>
          <w:sz w:val="24"/>
          <w:szCs w:val="24"/>
        </w:rPr>
        <w:t xml:space="preserve">ter, however </w:t>
      </w:r>
      <w:r w:rsidR="002D5D45" w:rsidRPr="007F38FB">
        <w:rPr>
          <w:rFonts w:ascii="Arial" w:hAnsi="Arial" w:cs="Arial"/>
          <w:sz w:val="24"/>
          <w:szCs w:val="24"/>
        </w:rPr>
        <w:t>was considerably higher than that nationally.</w:t>
      </w:r>
    </w:p>
    <w:p w14:paraId="4BA2824A" w14:textId="77777777" w:rsidR="006057BC" w:rsidRDefault="006057BC" w:rsidP="000A5AB7">
      <w:pPr>
        <w:jc w:val="both"/>
        <w:rPr>
          <w:rFonts w:cs="Arial"/>
          <w:i/>
          <w:szCs w:val="24"/>
        </w:rPr>
      </w:pPr>
    </w:p>
    <w:p w14:paraId="6371591D" w14:textId="77777777" w:rsidR="002D5D45" w:rsidRPr="002D5D45" w:rsidRDefault="002D5D45" w:rsidP="000A5AB7">
      <w:pPr>
        <w:jc w:val="both"/>
        <w:rPr>
          <w:rFonts w:cs="Arial"/>
          <w:i/>
          <w:szCs w:val="24"/>
        </w:rPr>
      </w:pPr>
      <w:r w:rsidRPr="002D5D45">
        <w:rPr>
          <w:rFonts w:cs="Arial"/>
          <w:i/>
          <w:szCs w:val="24"/>
        </w:rPr>
        <w:t>Drug use</w:t>
      </w:r>
      <w:r w:rsidR="00552607">
        <w:rPr>
          <w:rFonts w:cs="Arial"/>
          <w:i/>
          <w:szCs w:val="24"/>
        </w:rPr>
        <w:t xml:space="preserve"> </w:t>
      </w:r>
    </w:p>
    <w:p w14:paraId="0E74928B" w14:textId="77777777" w:rsidR="002D5D45" w:rsidRDefault="007F38FB" w:rsidP="000A5AB7">
      <w:pPr>
        <w:jc w:val="both"/>
        <w:rPr>
          <w:rFonts w:cs="Arial"/>
          <w:szCs w:val="24"/>
        </w:rPr>
      </w:pPr>
      <w:r w:rsidRPr="007F38FB">
        <w:rPr>
          <w:rFonts w:cs="Arial"/>
          <w:szCs w:val="24"/>
        </w:rPr>
        <w:t xml:space="preserve">Rolling data for the year from July 2017 to June 2018 published in December 2018 </w:t>
      </w:r>
      <w:r w:rsidR="009505E9" w:rsidRPr="007F38FB">
        <w:rPr>
          <w:rFonts w:cs="Arial"/>
          <w:szCs w:val="24"/>
        </w:rPr>
        <w:t xml:space="preserve">showed that </w:t>
      </w:r>
      <w:r w:rsidR="002D5D45" w:rsidRPr="007F38FB">
        <w:rPr>
          <w:rFonts w:cs="Arial"/>
          <w:szCs w:val="24"/>
        </w:rPr>
        <w:t>the proportion</w:t>
      </w:r>
      <w:r w:rsidR="009505E9" w:rsidRPr="007F38FB">
        <w:rPr>
          <w:rFonts w:cs="Arial"/>
          <w:szCs w:val="24"/>
        </w:rPr>
        <w:t>s</w:t>
      </w:r>
      <w:r w:rsidR="002D5D45" w:rsidRPr="007F38FB">
        <w:rPr>
          <w:rFonts w:cs="Arial"/>
          <w:szCs w:val="24"/>
        </w:rPr>
        <w:t xml:space="preserve"> of </w:t>
      </w:r>
      <w:r w:rsidR="009505E9" w:rsidRPr="007F38FB">
        <w:rPr>
          <w:rFonts w:cs="Arial"/>
          <w:szCs w:val="24"/>
        </w:rPr>
        <w:t xml:space="preserve">both </w:t>
      </w:r>
      <w:r w:rsidR="002D5D45" w:rsidRPr="007F38FB">
        <w:rPr>
          <w:rFonts w:cs="Arial"/>
          <w:szCs w:val="24"/>
        </w:rPr>
        <w:t xml:space="preserve">opiate </w:t>
      </w:r>
      <w:r w:rsidR="009505E9" w:rsidRPr="007F38FB">
        <w:rPr>
          <w:rFonts w:cs="Arial"/>
          <w:szCs w:val="24"/>
        </w:rPr>
        <w:t xml:space="preserve">and non-opiate drug </w:t>
      </w:r>
      <w:r w:rsidR="002D5D45" w:rsidRPr="007F38FB">
        <w:rPr>
          <w:rFonts w:cs="Arial"/>
          <w:szCs w:val="24"/>
        </w:rPr>
        <w:t>users th</w:t>
      </w:r>
      <w:r w:rsidR="009505E9" w:rsidRPr="007F38FB">
        <w:rPr>
          <w:rFonts w:cs="Arial"/>
          <w:szCs w:val="24"/>
        </w:rPr>
        <w:t xml:space="preserve">at left drug </w:t>
      </w:r>
      <w:r w:rsidR="002D5D45" w:rsidRPr="007F38FB">
        <w:rPr>
          <w:rFonts w:cs="Arial"/>
          <w:szCs w:val="24"/>
        </w:rPr>
        <w:t xml:space="preserve">treatment successfully who do not re-present to treatment within 6 months </w:t>
      </w:r>
      <w:r w:rsidR="009505E9" w:rsidRPr="007F38FB">
        <w:rPr>
          <w:rFonts w:cs="Arial"/>
          <w:szCs w:val="24"/>
        </w:rPr>
        <w:t xml:space="preserve">was </w:t>
      </w:r>
      <w:r w:rsidR="007C33FA">
        <w:rPr>
          <w:rFonts w:cs="Arial"/>
          <w:szCs w:val="24"/>
        </w:rPr>
        <w:t xml:space="preserve">slightly </w:t>
      </w:r>
      <w:r w:rsidR="009505E9" w:rsidRPr="007F38FB">
        <w:rPr>
          <w:rFonts w:cs="Arial"/>
          <w:szCs w:val="24"/>
        </w:rPr>
        <w:t>lower wh</w:t>
      </w:r>
      <w:r w:rsidRPr="007F38FB">
        <w:rPr>
          <w:rFonts w:cs="Arial"/>
          <w:szCs w:val="24"/>
        </w:rPr>
        <w:t>en compared to the previous quarter</w:t>
      </w:r>
      <w:r w:rsidR="009505E9" w:rsidRPr="007F38FB">
        <w:rPr>
          <w:rFonts w:cs="Arial"/>
          <w:szCs w:val="24"/>
        </w:rPr>
        <w:t>, however this was considerably higher than that nationally.</w:t>
      </w:r>
    </w:p>
    <w:p w14:paraId="29268C47" w14:textId="77777777" w:rsidR="007C33FA" w:rsidRDefault="007C33FA" w:rsidP="000A5AB7">
      <w:pPr>
        <w:jc w:val="both"/>
        <w:rPr>
          <w:rFonts w:cs="Arial"/>
          <w:szCs w:val="24"/>
        </w:rPr>
      </w:pPr>
    </w:p>
    <w:p w14:paraId="261A4332" w14:textId="77777777" w:rsidR="002C4F7F" w:rsidRPr="007F38FB" w:rsidRDefault="002C4F7F" w:rsidP="000A5AB7">
      <w:pPr>
        <w:jc w:val="both"/>
        <w:rPr>
          <w:rFonts w:cs="Arial"/>
          <w:szCs w:val="24"/>
        </w:rPr>
      </w:pPr>
    </w:p>
    <w:p w14:paraId="46E058F5" w14:textId="78EBB0DA" w:rsidR="00286A8E" w:rsidRPr="0004382F" w:rsidRDefault="00BD7D7A" w:rsidP="000A5AB7">
      <w:pPr>
        <w:pStyle w:val="NoSpacing"/>
        <w:jc w:val="both"/>
        <w:rPr>
          <w:rFonts w:ascii="Arial" w:hAnsi="Arial" w:cs="Arial"/>
          <w:i/>
          <w:sz w:val="24"/>
          <w:szCs w:val="24"/>
        </w:rPr>
      </w:pPr>
      <w:r w:rsidRPr="008D2153">
        <w:rPr>
          <w:rFonts w:ascii="Arial" w:hAnsi="Arial" w:cs="Arial"/>
          <w:i/>
          <w:sz w:val="24"/>
          <w:szCs w:val="24"/>
        </w:rPr>
        <w:lastRenderedPageBreak/>
        <w:t xml:space="preserve">Children &amp; Family Wellbeing </w:t>
      </w:r>
      <w:r w:rsidR="000A5AB7">
        <w:rPr>
          <w:rFonts w:ascii="Arial" w:hAnsi="Arial" w:cs="Arial"/>
          <w:i/>
          <w:sz w:val="24"/>
          <w:szCs w:val="24"/>
        </w:rPr>
        <w:t>S</w:t>
      </w:r>
      <w:r w:rsidRPr="008D2153">
        <w:rPr>
          <w:rFonts w:ascii="Arial" w:hAnsi="Arial" w:cs="Arial"/>
          <w:i/>
          <w:sz w:val="24"/>
          <w:szCs w:val="24"/>
        </w:rPr>
        <w:t>ervice</w:t>
      </w:r>
    </w:p>
    <w:p w14:paraId="27C18EB0" w14:textId="77777777" w:rsidR="004F0615" w:rsidRPr="0003012F" w:rsidRDefault="0003012F" w:rsidP="000A5AB7">
      <w:pPr>
        <w:pStyle w:val="NoSpacing"/>
        <w:jc w:val="both"/>
        <w:rPr>
          <w:rFonts w:ascii="Arial" w:hAnsi="Arial" w:cs="Arial"/>
          <w:sz w:val="24"/>
          <w:szCs w:val="24"/>
        </w:rPr>
      </w:pPr>
      <w:r w:rsidRPr="0003012F">
        <w:rPr>
          <w:rFonts w:ascii="Arial" w:hAnsi="Arial" w:cs="Arial"/>
          <w:sz w:val="24"/>
          <w:szCs w:val="24"/>
        </w:rPr>
        <w:t>A further 1,666</w:t>
      </w:r>
      <w:r w:rsidR="004F0615" w:rsidRPr="0003012F">
        <w:rPr>
          <w:rFonts w:ascii="Arial" w:hAnsi="Arial" w:cs="Arial"/>
          <w:sz w:val="24"/>
          <w:szCs w:val="24"/>
        </w:rPr>
        <w:t xml:space="preserve"> Troubled Families were attach</w:t>
      </w:r>
      <w:r w:rsidRPr="0003012F">
        <w:rPr>
          <w:rFonts w:ascii="Arial" w:hAnsi="Arial" w:cs="Arial"/>
          <w:sz w:val="24"/>
          <w:szCs w:val="24"/>
        </w:rPr>
        <w:t>ed to the programme in quarter 3</w:t>
      </w:r>
      <w:r w:rsidR="004F0615" w:rsidRPr="0003012F">
        <w:rPr>
          <w:rFonts w:ascii="Arial" w:hAnsi="Arial" w:cs="Arial"/>
          <w:sz w:val="24"/>
          <w:szCs w:val="24"/>
        </w:rPr>
        <w:t xml:space="preserve"> of 2018/19, increasing the number </w:t>
      </w:r>
      <w:r w:rsidR="00BC198F" w:rsidRPr="0003012F">
        <w:rPr>
          <w:rFonts w:ascii="Arial" w:hAnsi="Arial" w:cs="Arial"/>
          <w:sz w:val="24"/>
          <w:szCs w:val="24"/>
        </w:rPr>
        <w:t xml:space="preserve">to </w:t>
      </w:r>
      <w:r w:rsidRPr="0003012F">
        <w:rPr>
          <w:rFonts w:ascii="Arial" w:hAnsi="Arial" w:cs="Arial"/>
          <w:sz w:val="24"/>
          <w:szCs w:val="24"/>
        </w:rPr>
        <w:t xml:space="preserve">14,164 as at 31 December </w:t>
      </w:r>
      <w:r w:rsidR="004F0615" w:rsidRPr="0003012F">
        <w:rPr>
          <w:rFonts w:ascii="Arial" w:hAnsi="Arial" w:cs="Arial"/>
          <w:sz w:val="24"/>
          <w:szCs w:val="24"/>
        </w:rPr>
        <w:t>2018.</w:t>
      </w:r>
      <w:r w:rsidRPr="0003012F">
        <w:rPr>
          <w:rFonts w:ascii="Arial" w:hAnsi="Arial" w:cs="Arial"/>
          <w:color w:val="FF0000"/>
          <w:sz w:val="20"/>
          <w:szCs w:val="20"/>
        </w:rPr>
        <w:t xml:space="preserve"> </w:t>
      </w:r>
      <w:r w:rsidR="00A43E20">
        <w:rPr>
          <w:rFonts w:ascii="Arial" w:hAnsi="Arial" w:cs="Arial"/>
          <w:color w:val="FF0000"/>
          <w:sz w:val="20"/>
          <w:szCs w:val="20"/>
        </w:rPr>
        <w:t xml:space="preserve"> </w:t>
      </w:r>
      <w:r w:rsidRPr="0003012F">
        <w:rPr>
          <w:rFonts w:ascii="Arial" w:hAnsi="Arial" w:cs="Arial"/>
          <w:sz w:val="24"/>
          <w:szCs w:val="24"/>
        </w:rPr>
        <w:t>There has been a noticeable increase</w:t>
      </w:r>
      <w:r>
        <w:rPr>
          <w:rFonts w:ascii="Arial" w:hAnsi="Arial" w:cs="Arial"/>
          <w:sz w:val="24"/>
          <w:szCs w:val="24"/>
        </w:rPr>
        <w:t xml:space="preserve"> in attachments during December </w:t>
      </w:r>
      <w:r w:rsidRPr="0003012F">
        <w:rPr>
          <w:rFonts w:ascii="Arial" w:hAnsi="Arial" w:cs="Arial"/>
          <w:sz w:val="24"/>
          <w:szCs w:val="24"/>
        </w:rPr>
        <w:t>2018, compared to other months during 2018, due to implementation of a new process.</w:t>
      </w:r>
    </w:p>
    <w:p w14:paraId="478BCE0E" w14:textId="77777777" w:rsidR="0063726B" w:rsidRPr="00131A3A" w:rsidRDefault="0063726B" w:rsidP="000A5AB7">
      <w:pPr>
        <w:pStyle w:val="NoSpacing"/>
        <w:jc w:val="both"/>
        <w:rPr>
          <w:rFonts w:ascii="Arial" w:hAnsi="Arial" w:cs="Arial"/>
          <w:color w:val="FF0000"/>
          <w:sz w:val="24"/>
          <w:szCs w:val="24"/>
        </w:rPr>
      </w:pPr>
    </w:p>
    <w:p w14:paraId="596CB9F0" w14:textId="0ED5BA21" w:rsidR="002E15BC" w:rsidRDefault="004F0615" w:rsidP="000A5AB7">
      <w:pPr>
        <w:pStyle w:val="NoSpacing"/>
        <w:jc w:val="both"/>
        <w:rPr>
          <w:rFonts w:ascii="Arial" w:hAnsi="Arial" w:cs="Arial"/>
          <w:sz w:val="24"/>
          <w:szCs w:val="24"/>
        </w:rPr>
      </w:pPr>
      <w:r w:rsidRPr="0003012F">
        <w:rPr>
          <w:rFonts w:ascii="Arial" w:hAnsi="Arial" w:cs="Arial"/>
          <w:sz w:val="24"/>
          <w:szCs w:val="24"/>
        </w:rPr>
        <w:t xml:space="preserve">The cumulative total of 'payments by results' claims </w:t>
      </w:r>
      <w:r w:rsidR="0003012F" w:rsidRPr="0003012F">
        <w:rPr>
          <w:rFonts w:ascii="Arial" w:hAnsi="Arial" w:cs="Arial"/>
          <w:sz w:val="24"/>
          <w:szCs w:val="24"/>
        </w:rPr>
        <w:t>which are submitt</w:t>
      </w:r>
      <w:r w:rsidR="0003012F">
        <w:rPr>
          <w:rFonts w:ascii="Arial" w:hAnsi="Arial" w:cs="Arial"/>
          <w:sz w:val="24"/>
          <w:szCs w:val="24"/>
        </w:rPr>
        <w:t xml:space="preserve">ed to the Ministry for Housing, </w:t>
      </w:r>
      <w:r w:rsidR="0003012F" w:rsidRPr="0003012F">
        <w:rPr>
          <w:rFonts w:ascii="Arial" w:hAnsi="Arial" w:cs="Arial"/>
          <w:sz w:val="24"/>
          <w:szCs w:val="24"/>
        </w:rPr>
        <w:t xml:space="preserve">Communities and Local Government on a quarterly basis </w:t>
      </w:r>
      <w:r w:rsidR="001464F3" w:rsidRPr="0003012F">
        <w:rPr>
          <w:rFonts w:ascii="Arial" w:hAnsi="Arial" w:cs="Arial"/>
          <w:sz w:val="24"/>
          <w:szCs w:val="24"/>
        </w:rPr>
        <w:t xml:space="preserve">achieved by the claim window closure </w:t>
      </w:r>
      <w:r w:rsidR="0003012F" w:rsidRPr="0003012F">
        <w:rPr>
          <w:rFonts w:ascii="Arial" w:hAnsi="Arial" w:cs="Arial"/>
          <w:sz w:val="24"/>
          <w:szCs w:val="24"/>
        </w:rPr>
        <w:t>as at 31 Dec</w:t>
      </w:r>
      <w:r w:rsidR="0060025F" w:rsidRPr="0003012F">
        <w:rPr>
          <w:rFonts w:ascii="Arial" w:hAnsi="Arial" w:cs="Arial"/>
          <w:sz w:val="24"/>
          <w:szCs w:val="24"/>
        </w:rPr>
        <w:t>ember</w:t>
      </w:r>
      <w:r w:rsidRPr="0003012F">
        <w:rPr>
          <w:rFonts w:ascii="Arial" w:hAnsi="Arial" w:cs="Arial"/>
          <w:sz w:val="24"/>
          <w:szCs w:val="24"/>
        </w:rPr>
        <w:t xml:space="preserve"> 2018</w:t>
      </w:r>
      <w:r w:rsidR="0003012F" w:rsidRPr="0003012F">
        <w:rPr>
          <w:rFonts w:ascii="Arial" w:hAnsi="Arial" w:cs="Arial"/>
          <w:sz w:val="24"/>
          <w:szCs w:val="24"/>
        </w:rPr>
        <w:t xml:space="preserve"> – end of quarter 3</w:t>
      </w:r>
      <w:r w:rsidR="00DB40EE" w:rsidRPr="0003012F">
        <w:rPr>
          <w:rFonts w:ascii="Arial" w:hAnsi="Arial" w:cs="Arial"/>
          <w:sz w:val="24"/>
          <w:szCs w:val="24"/>
        </w:rPr>
        <w:t xml:space="preserve"> - </w:t>
      </w:r>
      <w:r w:rsidR="0003012F" w:rsidRPr="0003012F">
        <w:rPr>
          <w:rFonts w:ascii="Arial" w:hAnsi="Arial" w:cs="Arial"/>
          <w:sz w:val="24"/>
          <w:szCs w:val="24"/>
        </w:rPr>
        <w:t>was ahead</w:t>
      </w:r>
      <w:r w:rsidR="0060025F" w:rsidRPr="0003012F">
        <w:rPr>
          <w:rFonts w:ascii="Arial" w:hAnsi="Arial" w:cs="Arial"/>
          <w:sz w:val="24"/>
          <w:szCs w:val="24"/>
        </w:rPr>
        <w:t xml:space="preserve"> (</w:t>
      </w:r>
      <w:r w:rsidR="0003012F" w:rsidRPr="0003012F">
        <w:rPr>
          <w:rFonts w:ascii="Arial" w:hAnsi="Arial" w:cs="Arial"/>
          <w:sz w:val="24"/>
          <w:szCs w:val="24"/>
        </w:rPr>
        <w:t>38 and 1.2% greater than</w:t>
      </w:r>
      <w:r w:rsidRPr="0003012F">
        <w:rPr>
          <w:rFonts w:ascii="Arial" w:hAnsi="Arial" w:cs="Arial"/>
          <w:sz w:val="24"/>
          <w:szCs w:val="24"/>
        </w:rPr>
        <w:t>) the targeted position</w:t>
      </w:r>
      <w:r w:rsidR="0003012F" w:rsidRPr="0003012F">
        <w:rPr>
          <w:rFonts w:ascii="Arial" w:hAnsi="Arial" w:cs="Arial"/>
          <w:sz w:val="24"/>
          <w:szCs w:val="24"/>
        </w:rPr>
        <w:t xml:space="preserve"> (3,120</w:t>
      </w:r>
      <w:r w:rsidR="001464F3" w:rsidRPr="0003012F">
        <w:rPr>
          <w:rFonts w:ascii="Arial" w:hAnsi="Arial" w:cs="Arial"/>
          <w:sz w:val="24"/>
          <w:szCs w:val="24"/>
        </w:rPr>
        <w:t>)</w:t>
      </w:r>
      <w:r w:rsidRPr="0003012F">
        <w:rPr>
          <w:rFonts w:ascii="Arial" w:hAnsi="Arial" w:cs="Arial"/>
          <w:sz w:val="24"/>
          <w:szCs w:val="24"/>
        </w:rPr>
        <w:t xml:space="preserve">. </w:t>
      </w:r>
    </w:p>
    <w:p w14:paraId="3AEE86EB" w14:textId="77777777" w:rsidR="000B7F45" w:rsidRPr="0003012F" w:rsidRDefault="000B7F45" w:rsidP="000A5AB7">
      <w:pPr>
        <w:pStyle w:val="NoSpacing"/>
        <w:jc w:val="both"/>
        <w:rPr>
          <w:rFonts w:ascii="Arial" w:hAnsi="Arial" w:cs="Arial"/>
          <w:sz w:val="24"/>
          <w:szCs w:val="24"/>
        </w:rPr>
      </w:pPr>
    </w:p>
    <w:p w14:paraId="7C71F5C5" w14:textId="5018EB75" w:rsidR="000B7F45" w:rsidRPr="0051457E" w:rsidRDefault="000B7F45" w:rsidP="000A5AB7">
      <w:pPr>
        <w:jc w:val="both"/>
        <w:rPr>
          <w:rFonts w:cs="Arial"/>
          <w:szCs w:val="24"/>
        </w:rPr>
      </w:pPr>
      <w:r w:rsidRPr="0051457E">
        <w:rPr>
          <w:rFonts w:cs="Arial"/>
          <w:szCs w:val="24"/>
        </w:rPr>
        <w:t>It</w:t>
      </w:r>
      <w:r>
        <w:rPr>
          <w:rFonts w:cs="Arial"/>
          <w:szCs w:val="24"/>
        </w:rPr>
        <w:t xml:space="preserve"> was recently agreed that we</w:t>
      </w:r>
      <w:r w:rsidRPr="0051457E">
        <w:rPr>
          <w:rFonts w:cs="Arial"/>
          <w:szCs w:val="24"/>
        </w:rPr>
        <w:t xml:space="preserve"> look to maximise our claims by accelerating progress with partners and getting them to sharing this responsibility.  This is an identified action in the children services </w:t>
      </w:r>
      <w:r w:rsidR="00E16D76">
        <w:rPr>
          <w:rFonts w:cs="Arial"/>
          <w:szCs w:val="24"/>
        </w:rPr>
        <w:t>'</w:t>
      </w:r>
      <w:r w:rsidRPr="0051457E">
        <w:rPr>
          <w:rFonts w:cs="Arial"/>
          <w:szCs w:val="24"/>
        </w:rPr>
        <w:t>Getting to Good</w:t>
      </w:r>
      <w:r w:rsidR="00E16D76">
        <w:rPr>
          <w:rFonts w:cs="Arial"/>
          <w:szCs w:val="24"/>
        </w:rPr>
        <w:t>'</w:t>
      </w:r>
      <w:r w:rsidRPr="0051457E">
        <w:rPr>
          <w:rFonts w:cs="Arial"/>
          <w:szCs w:val="24"/>
        </w:rPr>
        <w:t xml:space="preserve"> plan.</w:t>
      </w:r>
    </w:p>
    <w:p w14:paraId="4F7B2D44" w14:textId="77777777" w:rsidR="000B7F45" w:rsidRPr="00131A3A" w:rsidRDefault="000B7F45" w:rsidP="000A5AB7">
      <w:pPr>
        <w:jc w:val="both"/>
        <w:rPr>
          <w:color w:val="FF0000"/>
        </w:rPr>
      </w:pPr>
    </w:p>
    <w:p w14:paraId="5890923B" w14:textId="1394B48F" w:rsidR="002C4F7F" w:rsidRDefault="0006600F" w:rsidP="000A5AB7">
      <w:pPr>
        <w:jc w:val="both"/>
        <w:rPr>
          <w:rFonts w:cs="Arial"/>
          <w:szCs w:val="24"/>
        </w:rPr>
      </w:pPr>
      <w:r w:rsidRPr="0003012F">
        <w:rPr>
          <w:rFonts w:cs="Arial"/>
          <w:szCs w:val="24"/>
        </w:rPr>
        <w:t xml:space="preserve">It is anticipated that that the target of 8,620 </w:t>
      </w:r>
      <w:r w:rsidR="000A5AB7">
        <w:rPr>
          <w:rFonts w:cs="Arial"/>
          <w:szCs w:val="24"/>
        </w:rPr>
        <w:t>payments by results</w:t>
      </w:r>
      <w:r w:rsidRPr="0003012F">
        <w:rPr>
          <w:rFonts w:cs="Arial"/>
          <w:szCs w:val="24"/>
        </w:rPr>
        <w:t xml:space="preserve"> claims will be achieved by the time the 5 year programme ends in 2019/20.</w:t>
      </w:r>
    </w:p>
    <w:p w14:paraId="2D0CB5A0" w14:textId="292BE248" w:rsidR="00A4799D" w:rsidRPr="00E95CE8" w:rsidRDefault="002A28A6" w:rsidP="000A5AB7">
      <w:pPr>
        <w:pStyle w:val="Heading1"/>
        <w:jc w:val="both"/>
        <w:rPr>
          <w:szCs w:val="24"/>
        </w:rPr>
      </w:pPr>
      <w:r w:rsidRPr="00E95CE8">
        <w:rPr>
          <w:szCs w:val="24"/>
        </w:rPr>
        <w:t xml:space="preserve">                                                                                   </w:t>
      </w:r>
      <w:r w:rsidR="00E95CE8" w:rsidRPr="00E95CE8">
        <w:rPr>
          <w:szCs w:val="24"/>
        </w:rPr>
        <w:t xml:space="preserve">                            </w:t>
      </w:r>
    </w:p>
    <w:p w14:paraId="37673A48" w14:textId="77777777" w:rsidR="00004A0F" w:rsidRPr="00004A0F" w:rsidRDefault="00004A0F" w:rsidP="000A5AB7">
      <w:pPr>
        <w:jc w:val="both"/>
        <w:rPr>
          <w:b/>
          <w:szCs w:val="24"/>
        </w:rPr>
      </w:pPr>
      <w:r w:rsidRPr="00004A0F">
        <w:rPr>
          <w:b/>
          <w:szCs w:val="24"/>
        </w:rPr>
        <w:t>Consultations</w:t>
      </w:r>
    </w:p>
    <w:p w14:paraId="0E33A225" w14:textId="77777777" w:rsidR="00004A0F" w:rsidRDefault="00004A0F" w:rsidP="000A5AB7">
      <w:pPr>
        <w:jc w:val="both"/>
        <w:rPr>
          <w:szCs w:val="24"/>
        </w:rPr>
      </w:pPr>
    </w:p>
    <w:p w14:paraId="6DE00B94" w14:textId="77777777" w:rsidR="00586AB8" w:rsidRPr="00925E3D" w:rsidRDefault="001342BE" w:rsidP="000A5AB7">
      <w:pPr>
        <w:jc w:val="both"/>
        <w:rPr>
          <w:szCs w:val="24"/>
        </w:rPr>
      </w:pPr>
      <w:r w:rsidRPr="00925E3D">
        <w:rPr>
          <w:szCs w:val="24"/>
        </w:rPr>
        <w:t>Members</w:t>
      </w:r>
      <w:r w:rsidR="005D4BD0" w:rsidRPr="00925E3D">
        <w:rPr>
          <w:szCs w:val="24"/>
        </w:rPr>
        <w:t xml:space="preserve"> </w:t>
      </w:r>
      <w:r w:rsidR="00BA25DD" w:rsidRPr="00925E3D">
        <w:rPr>
          <w:szCs w:val="24"/>
        </w:rPr>
        <w:t>of Management Team</w:t>
      </w:r>
      <w:r w:rsidR="005D4BD0" w:rsidRPr="00925E3D">
        <w:rPr>
          <w:szCs w:val="24"/>
        </w:rPr>
        <w:t>(s)</w:t>
      </w:r>
      <w:r w:rsidR="001818BC" w:rsidRPr="00925E3D">
        <w:rPr>
          <w:szCs w:val="24"/>
        </w:rPr>
        <w:t xml:space="preserve"> have</w:t>
      </w:r>
      <w:r w:rsidR="008E5C1C" w:rsidRPr="00925E3D">
        <w:rPr>
          <w:szCs w:val="24"/>
        </w:rPr>
        <w:t xml:space="preserve"> previously</w:t>
      </w:r>
      <w:r w:rsidR="00A50DE1" w:rsidRPr="00925E3D">
        <w:rPr>
          <w:szCs w:val="24"/>
        </w:rPr>
        <w:t xml:space="preserve"> received the information in</w:t>
      </w:r>
      <w:r w:rsidR="001818BC" w:rsidRPr="00925E3D">
        <w:rPr>
          <w:szCs w:val="24"/>
        </w:rPr>
        <w:t xml:space="preserve"> </w:t>
      </w:r>
      <w:r w:rsidR="005E0F58" w:rsidRPr="00925E3D">
        <w:rPr>
          <w:szCs w:val="24"/>
        </w:rPr>
        <w:t>this report</w:t>
      </w:r>
      <w:r w:rsidR="00E16D84" w:rsidRPr="00925E3D">
        <w:rPr>
          <w:szCs w:val="24"/>
        </w:rPr>
        <w:t>.</w:t>
      </w:r>
    </w:p>
    <w:p w14:paraId="47291810" w14:textId="77777777" w:rsidR="00294B23" w:rsidRPr="00925E3D" w:rsidRDefault="00294B23" w:rsidP="000A5AB7">
      <w:pPr>
        <w:jc w:val="both"/>
        <w:rPr>
          <w:szCs w:val="24"/>
        </w:rPr>
      </w:pPr>
    </w:p>
    <w:p w14:paraId="0E8CFBDA" w14:textId="77777777" w:rsidR="0003555B" w:rsidRDefault="003E6A45" w:rsidP="000A5AB7">
      <w:pPr>
        <w:jc w:val="both"/>
        <w:rPr>
          <w:szCs w:val="24"/>
        </w:rPr>
      </w:pPr>
      <w:r w:rsidRPr="00925E3D">
        <w:rPr>
          <w:b/>
          <w:szCs w:val="24"/>
        </w:rPr>
        <w:t>Implications</w:t>
      </w:r>
      <w:r w:rsidRPr="00925E3D">
        <w:rPr>
          <w:szCs w:val="24"/>
        </w:rPr>
        <w:t>:</w:t>
      </w:r>
    </w:p>
    <w:p w14:paraId="4ADF819A" w14:textId="77777777" w:rsidR="000A5AB7" w:rsidRPr="00925E3D" w:rsidRDefault="000A5AB7" w:rsidP="000A5AB7">
      <w:pPr>
        <w:jc w:val="both"/>
        <w:rPr>
          <w:szCs w:val="24"/>
        </w:rPr>
      </w:pPr>
    </w:p>
    <w:p w14:paraId="51A68C19" w14:textId="77777777" w:rsidR="00772BBA" w:rsidRPr="00925E3D" w:rsidRDefault="00772BBA" w:rsidP="000A5AB7">
      <w:pPr>
        <w:jc w:val="both"/>
        <w:rPr>
          <w:szCs w:val="24"/>
        </w:rPr>
      </w:pPr>
      <w:r w:rsidRPr="00925E3D">
        <w:rPr>
          <w:szCs w:val="24"/>
        </w:rPr>
        <w:t>This item has the following implications, as indicated:</w:t>
      </w:r>
    </w:p>
    <w:p w14:paraId="7D5973DE" w14:textId="77777777" w:rsidR="00BB6EA6" w:rsidRPr="00925E3D" w:rsidRDefault="00BB6EA6" w:rsidP="000A5AB7">
      <w:pPr>
        <w:jc w:val="both"/>
        <w:rPr>
          <w:b/>
          <w:szCs w:val="24"/>
        </w:rPr>
      </w:pPr>
    </w:p>
    <w:p w14:paraId="6BBF1537" w14:textId="77777777" w:rsidR="0003555B" w:rsidRDefault="00772BBA" w:rsidP="000A5AB7">
      <w:pPr>
        <w:jc w:val="both"/>
        <w:rPr>
          <w:b/>
          <w:szCs w:val="24"/>
        </w:rPr>
      </w:pPr>
      <w:r w:rsidRPr="00925E3D">
        <w:rPr>
          <w:b/>
          <w:szCs w:val="24"/>
        </w:rPr>
        <w:t>Risk management</w:t>
      </w:r>
    </w:p>
    <w:p w14:paraId="7B7BDEDD" w14:textId="77777777" w:rsidR="000A5AB7" w:rsidRPr="00925E3D" w:rsidRDefault="000A5AB7" w:rsidP="000A5AB7">
      <w:pPr>
        <w:jc w:val="both"/>
        <w:rPr>
          <w:b/>
          <w:szCs w:val="24"/>
        </w:rPr>
      </w:pPr>
    </w:p>
    <w:p w14:paraId="1C9DCBB4" w14:textId="77777777" w:rsidR="00CF6C60" w:rsidRPr="00925E3D" w:rsidRDefault="00F863F2" w:rsidP="000A5AB7">
      <w:pPr>
        <w:jc w:val="both"/>
        <w:rPr>
          <w:szCs w:val="24"/>
        </w:rPr>
      </w:pPr>
      <w:r w:rsidRPr="00925E3D">
        <w:rPr>
          <w:szCs w:val="24"/>
        </w:rPr>
        <w:t>No significant risks have been identified in relation to the proposals contained within this report.</w:t>
      </w:r>
    </w:p>
    <w:p w14:paraId="6C9C8171" w14:textId="77777777" w:rsidR="00CF6C60" w:rsidRPr="00925E3D" w:rsidRDefault="00CF6C60" w:rsidP="000A5AB7">
      <w:pPr>
        <w:jc w:val="both"/>
        <w:rPr>
          <w:szCs w:val="24"/>
        </w:rPr>
      </w:pPr>
    </w:p>
    <w:p w14:paraId="4B1ED013" w14:textId="77777777" w:rsidR="009A1917" w:rsidRPr="00925E3D" w:rsidRDefault="009A1917" w:rsidP="000A5AB7">
      <w:pPr>
        <w:jc w:val="both"/>
        <w:rPr>
          <w:b/>
          <w:szCs w:val="24"/>
        </w:rPr>
      </w:pPr>
      <w:r w:rsidRPr="00925E3D">
        <w:rPr>
          <w:b/>
          <w:szCs w:val="24"/>
        </w:rPr>
        <w:t>Local Government (Access to Information) Act 1985</w:t>
      </w:r>
    </w:p>
    <w:p w14:paraId="782144D6" w14:textId="77777777" w:rsidR="00CF6C60" w:rsidRPr="00925E3D" w:rsidRDefault="00CF6C60" w:rsidP="000A5AB7">
      <w:pPr>
        <w:jc w:val="both"/>
        <w:rPr>
          <w:b/>
          <w:szCs w:val="24"/>
        </w:rPr>
      </w:pPr>
    </w:p>
    <w:p w14:paraId="2F5AC113" w14:textId="77777777" w:rsidR="00CF67FC" w:rsidRPr="00925E3D" w:rsidRDefault="003E6A45" w:rsidP="000A5AB7">
      <w:pPr>
        <w:pStyle w:val="Heading5"/>
        <w:jc w:val="both"/>
        <w:rPr>
          <w:rFonts w:ascii="Arial" w:hAnsi="Arial"/>
          <w:szCs w:val="24"/>
          <w:u w:val="none"/>
        </w:rPr>
      </w:pPr>
      <w:r w:rsidRPr="00925E3D">
        <w:rPr>
          <w:rFonts w:ascii="Arial" w:hAnsi="Arial"/>
          <w:szCs w:val="24"/>
          <w:u w:val="none"/>
        </w:rPr>
        <w:t>List of Background Papers</w:t>
      </w:r>
    </w:p>
    <w:p w14:paraId="47ADCF24" w14:textId="77777777" w:rsidR="0003555B" w:rsidRPr="00925E3D" w:rsidRDefault="0003555B" w:rsidP="000A5AB7">
      <w:pPr>
        <w:pStyle w:val="NoSpacing"/>
        <w:jc w:val="both"/>
        <w:rPr>
          <w:sz w:val="24"/>
          <w:szCs w:val="24"/>
        </w:rPr>
      </w:pPr>
    </w:p>
    <w:p w14:paraId="71F07EBA" w14:textId="77777777" w:rsidR="003210C0" w:rsidRPr="00925E3D" w:rsidRDefault="0003555B" w:rsidP="000A5AB7">
      <w:pPr>
        <w:spacing w:after="200"/>
        <w:jc w:val="both"/>
        <w:rPr>
          <w:rFonts w:cs="Arial"/>
          <w:szCs w:val="24"/>
        </w:rPr>
      </w:pPr>
      <w:r w:rsidRPr="00925E3D">
        <w:rPr>
          <w:rFonts w:cs="Arial"/>
          <w:szCs w:val="24"/>
        </w:rPr>
        <w:t>None</w:t>
      </w:r>
    </w:p>
    <w:p w14:paraId="323A9FEE" w14:textId="596B0489" w:rsidR="00935491" w:rsidRPr="000A5AB7" w:rsidRDefault="000A5AB7" w:rsidP="000A5AB7">
      <w:pPr>
        <w:jc w:val="both"/>
        <w:rPr>
          <w:rFonts w:cs="Arial"/>
          <w:szCs w:val="24"/>
        </w:rPr>
      </w:pPr>
      <w:r w:rsidRPr="000A5AB7">
        <w:rPr>
          <w:rFonts w:cs="Arial"/>
          <w:szCs w:val="24"/>
        </w:rPr>
        <w:t>Reason for inclusion in Part II, if appropriate</w:t>
      </w:r>
    </w:p>
    <w:p w14:paraId="5A21B008" w14:textId="77777777" w:rsidR="000A5AB7" w:rsidRPr="000A5AB7" w:rsidRDefault="000A5AB7" w:rsidP="000A5AB7">
      <w:pPr>
        <w:jc w:val="both"/>
        <w:rPr>
          <w:rFonts w:cs="Arial"/>
          <w:szCs w:val="24"/>
        </w:rPr>
      </w:pPr>
    </w:p>
    <w:p w14:paraId="7999EF9B" w14:textId="218A0678" w:rsidR="000A5AB7" w:rsidRPr="000A5AB7" w:rsidRDefault="000A5AB7" w:rsidP="000A5AB7">
      <w:pPr>
        <w:jc w:val="both"/>
        <w:rPr>
          <w:rFonts w:cs="Arial"/>
          <w:szCs w:val="24"/>
        </w:rPr>
      </w:pPr>
      <w:r w:rsidRPr="000A5AB7">
        <w:rPr>
          <w:rFonts w:cs="Arial"/>
          <w:szCs w:val="24"/>
        </w:rPr>
        <w:t>N/A</w:t>
      </w:r>
    </w:p>
    <w:sectPr w:rsidR="000A5AB7" w:rsidRPr="000A5AB7" w:rsidSect="00D27907">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71DCF" w14:textId="77777777" w:rsidR="00CE2001" w:rsidRDefault="00CE2001">
      <w:r>
        <w:separator/>
      </w:r>
    </w:p>
  </w:endnote>
  <w:endnote w:type="continuationSeparator" w:id="0">
    <w:p w14:paraId="6B6CC489" w14:textId="77777777" w:rsidR="00CE2001" w:rsidRDefault="00CE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E2001" w14:paraId="576D2BC2" w14:textId="77777777">
      <w:tc>
        <w:tcPr>
          <w:tcW w:w="9243" w:type="dxa"/>
          <w:tcBorders>
            <w:top w:val="nil"/>
            <w:left w:val="nil"/>
            <w:bottom w:val="nil"/>
            <w:right w:val="nil"/>
          </w:tcBorders>
        </w:tcPr>
        <w:p w14:paraId="0BA516ED" w14:textId="77777777" w:rsidR="00CE2001" w:rsidRDefault="00CE2001">
          <w:pPr>
            <w:pStyle w:val="Footer"/>
            <w:tabs>
              <w:tab w:val="clear" w:pos="4153"/>
            </w:tabs>
            <w:ind w:right="-45"/>
            <w:jc w:val="right"/>
          </w:pPr>
        </w:p>
      </w:tc>
    </w:tr>
  </w:tbl>
  <w:p w14:paraId="12348B05" w14:textId="77777777" w:rsidR="00CE2001" w:rsidRDefault="00CE200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E2001" w14:paraId="509CFB5F" w14:textId="77777777">
      <w:tc>
        <w:tcPr>
          <w:tcW w:w="9243" w:type="dxa"/>
          <w:tcBorders>
            <w:top w:val="nil"/>
            <w:left w:val="nil"/>
            <w:bottom w:val="nil"/>
            <w:right w:val="nil"/>
          </w:tcBorders>
        </w:tcPr>
        <w:p w14:paraId="394614E9" w14:textId="77777777" w:rsidR="00CE2001" w:rsidRDefault="00CE2001">
          <w:pPr>
            <w:pStyle w:val="Footer"/>
            <w:tabs>
              <w:tab w:val="clear" w:pos="4153"/>
            </w:tabs>
            <w:ind w:right="-45"/>
            <w:jc w:val="right"/>
          </w:pPr>
          <w:r w:rsidRPr="00AD2F25">
            <w:rPr>
              <w:noProof/>
            </w:rPr>
            <w:drawing>
              <wp:inline distT="0" distB="0" distL="0" distR="0" wp14:anchorId="047EE670" wp14:editId="135B030C">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14:paraId="3164455A" w14:textId="77777777" w:rsidR="00CE2001" w:rsidRDefault="00CE2001">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14A20" w14:textId="77777777" w:rsidR="00CE2001" w:rsidRDefault="00CE2001">
      <w:r>
        <w:separator/>
      </w:r>
    </w:p>
  </w:footnote>
  <w:footnote w:type="continuationSeparator" w:id="0">
    <w:p w14:paraId="23C2C495" w14:textId="77777777" w:rsidR="00CE2001" w:rsidRDefault="00CE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92C1" w14:textId="33A2104C" w:rsidR="00CE2001" w:rsidRDefault="00CE20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805"/>
    <w:multiLevelType w:val="hybridMultilevel"/>
    <w:tmpl w:val="50A42310"/>
    <w:lvl w:ilvl="0" w:tplc="822C3A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3792"/>
    <w:multiLevelType w:val="hybridMultilevel"/>
    <w:tmpl w:val="F146B44E"/>
    <w:lvl w:ilvl="0" w:tplc="C33441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A228E"/>
    <w:multiLevelType w:val="hybridMultilevel"/>
    <w:tmpl w:val="6A0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92EB0"/>
    <w:multiLevelType w:val="hybridMultilevel"/>
    <w:tmpl w:val="B4F6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B0B28"/>
    <w:multiLevelType w:val="hybridMultilevel"/>
    <w:tmpl w:val="AAD0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73F44"/>
    <w:multiLevelType w:val="hybridMultilevel"/>
    <w:tmpl w:val="9494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F1943"/>
    <w:multiLevelType w:val="hybridMultilevel"/>
    <w:tmpl w:val="53FC4E68"/>
    <w:lvl w:ilvl="0" w:tplc="424A9BB2">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157F31"/>
    <w:multiLevelType w:val="hybridMultilevel"/>
    <w:tmpl w:val="BD40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778B2"/>
    <w:multiLevelType w:val="hybridMultilevel"/>
    <w:tmpl w:val="72E08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F710B7"/>
    <w:multiLevelType w:val="hybridMultilevel"/>
    <w:tmpl w:val="7FE25EB0"/>
    <w:lvl w:ilvl="0" w:tplc="E2BCD774">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90CAB"/>
    <w:multiLevelType w:val="hybridMultilevel"/>
    <w:tmpl w:val="3724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C546A"/>
    <w:multiLevelType w:val="hybridMultilevel"/>
    <w:tmpl w:val="3FE0C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954745"/>
    <w:multiLevelType w:val="hybridMultilevel"/>
    <w:tmpl w:val="E8FE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66DA6"/>
    <w:multiLevelType w:val="hybridMultilevel"/>
    <w:tmpl w:val="6AD4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552DF"/>
    <w:multiLevelType w:val="hybridMultilevel"/>
    <w:tmpl w:val="CF5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32F7A"/>
    <w:multiLevelType w:val="hybridMultilevel"/>
    <w:tmpl w:val="BCF6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26E1F"/>
    <w:multiLevelType w:val="hybridMultilevel"/>
    <w:tmpl w:val="E494AAEE"/>
    <w:lvl w:ilvl="0" w:tplc="9EA0E674">
      <w:start w:val="1"/>
      <w:numFmt w:val="decimal"/>
      <w:lvlText w:val="%1."/>
      <w:lvlJc w:val="left"/>
      <w:pPr>
        <w:ind w:left="1440" w:hanging="360"/>
      </w:pPr>
    </w:lvl>
    <w:lvl w:ilvl="1" w:tplc="A31CFA04">
      <w:start w:val="1"/>
      <w:numFmt w:val="lowerLetter"/>
      <w:lvlText w:val="%2."/>
      <w:lvlJc w:val="left"/>
      <w:pPr>
        <w:ind w:left="2160" w:hanging="360"/>
      </w:pPr>
    </w:lvl>
    <w:lvl w:ilvl="2" w:tplc="26F01C06">
      <w:start w:val="1"/>
      <w:numFmt w:val="lowerRoman"/>
      <w:lvlText w:val="%3."/>
      <w:lvlJc w:val="right"/>
      <w:pPr>
        <w:ind w:left="2880" w:hanging="180"/>
      </w:pPr>
    </w:lvl>
    <w:lvl w:ilvl="3" w:tplc="883615F2">
      <w:start w:val="1"/>
      <w:numFmt w:val="decimal"/>
      <w:lvlText w:val="%4."/>
      <w:lvlJc w:val="left"/>
      <w:pPr>
        <w:ind w:left="3600" w:hanging="360"/>
      </w:pPr>
    </w:lvl>
    <w:lvl w:ilvl="4" w:tplc="2E76DB7C">
      <w:start w:val="1"/>
      <w:numFmt w:val="lowerLetter"/>
      <w:lvlText w:val="%5."/>
      <w:lvlJc w:val="left"/>
      <w:pPr>
        <w:ind w:left="4320" w:hanging="360"/>
      </w:pPr>
    </w:lvl>
    <w:lvl w:ilvl="5" w:tplc="CFD6D698">
      <w:start w:val="1"/>
      <w:numFmt w:val="lowerRoman"/>
      <w:lvlText w:val="%6."/>
      <w:lvlJc w:val="right"/>
      <w:pPr>
        <w:ind w:left="5040" w:hanging="180"/>
      </w:pPr>
    </w:lvl>
    <w:lvl w:ilvl="6" w:tplc="1D989E56">
      <w:start w:val="1"/>
      <w:numFmt w:val="decimal"/>
      <w:lvlText w:val="%7."/>
      <w:lvlJc w:val="left"/>
      <w:pPr>
        <w:ind w:left="5760" w:hanging="360"/>
      </w:pPr>
    </w:lvl>
    <w:lvl w:ilvl="7" w:tplc="EAFAFA40">
      <w:start w:val="1"/>
      <w:numFmt w:val="lowerLetter"/>
      <w:lvlText w:val="%8."/>
      <w:lvlJc w:val="left"/>
      <w:pPr>
        <w:ind w:left="6480" w:hanging="360"/>
      </w:pPr>
    </w:lvl>
    <w:lvl w:ilvl="8" w:tplc="EC82C038">
      <w:start w:val="1"/>
      <w:numFmt w:val="lowerRoman"/>
      <w:lvlText w:val="%9."/>
      <w:lvlJc w:val="right"/>
      <w:pPr>
        <w:ind w:left="7200" w:hanging="180"/>
      </w:pPr>
    </w:lvl>
  </w:abstractNum>
  <w:abstractNum w:abstractNumId="17" w15:restartNumberingAfterBreak="0">
    <w:nsid w:val="381E2356"/>
    <w:multiLevelType w:val="hybridMultilevel"/>
    <w:tmpl w:val="8FFA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76CD7"/>
    <w:multiLevelType w:val="hybridMultilevel"/>
    <w:tmpl w:val="9D88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B0C7C"/>
    <w:multiLevelType w:val="hybridMultilevel"/>
    <w:tmpl w:val="81AAC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7979C2"/>
    <w:multiLevelType w:val="hybridMultilevel"/>
    <w:tmpl w:val="AF62B87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21" w15:restartNumberingAfterBreak="0">
    <w:nsid w:val="467C404B"/>
    <w:multiLevelType w:val="hybridMultilevel"/>
    <w:tmpl w:val="F26A7D40"/>
    <w:lvl w:ilvl="0" w:tplc="698EF238">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1F5365"/>
    <w:multiLevelType w:val="hybridMultilevel"/>
    <w:tmpl w:val="0A0016B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3" w15:restartNumberingAfterBreak="0">
    <w:nsid w:val="4F6926F8"/>
    <w:multiLevelType w:val="hybridMultilevel"/>
    <w:tmpl w:val="86BE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74E12"/>
    <w:multiLevelType w:val="hybridMultilevel"/>
    <w:tmpl w:val="7A02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F7417"/>
    <w:multiLevelType w:val="hybridMultilevel"/>
    <w:tmpl w:val="320AFE7A"/>
    <w:lvl w:ilvl="0" w:tplc="4FBAE0A4">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4047CA"/>
    <w:multiLevelType w:val="hybridMultilevel"/>
    <w:tmpl w:val="E2183BC0"/>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EC7F0F"/>
    <w:multiLevelType w:val="hybridMultilevel"/>
    <w:tmpl w:val="7B4C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03C25"/>
    <w:multiLevelType w:val="hybridMultilevel"/>
    <w:tmpl w:val="765416E8"/>
    <w:lvl w:ilvl="0" w:tplc="7FF0932E">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6B15A9"/>
    <w:multiLevelType w:val="hybridMultilevel"/>
    <w:tmpl w:val="5CCC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07676"/>
    <w:multiLevelType w:val="hybridMultilevel"/>
    <w:tmpl w:val="A7C6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72E40"/>
    <w:multiLevelType w:val="hybridMultilevel"/>
    <w:tmpl w:val="348C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A2107"/>
    <w:multiLevelType w:val="hybridMultilevel"/>
    <w:tmpl w:val="ED12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A29DE"/>
    <w:multiLevelType w:val="hybridMultilevel"/>
    <w:tmpl w:val="C0CA8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708F1"/>
    <w:multiLevelType w:val="hybridMultilevel"/>
    <w:tmpl w:val="6178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36D25"/>
    <w:multiLevelType w:val="hybridMultilevel"/>
    <w:tmpl w:val="AC3C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7460A"/>
    <w:multiLevelType w:val="hybridMultilevel"/>
    <w:tmpl w:val="44FCCC52"/>
    <w:lvl w:ilvl="0" w:tplc="E84682D2">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12A2F9D"/>
    <w:multiLevelType w:val="hybridMultilevel"/>
    <w:tmpl w:val="9DAC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87E6B"/>
    <w:multiLevelType w:val="hybridMultilevel"/>
    <w:tmpl w:val="B15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D7633"/>
    <w:multiLevelType w:val="hybridMultilevel"/>
    <w:tmpl w:val="823245AE"/>
    <w:lvl w:ilvl="0" w:tplc="C3201770">
      <w:start w:val="293"/>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35CE0"/>
    <w:multiLevelType w:val="hybridMultilevel"/>
    <w:tmpl w:val="AE46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81F20"/>
    <w:multiLevelType w:val="hybridMultilevel"/>
    <w:tmpl w:val="30BAD528"/>
    <w:lvl w:ilvl="0" w:tplc="07824B3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B0C92"/>
    <w:multiLevelType w:val="multilevel"/>
    <w:tmpl w:val="F536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3"/>
  </w:num>
  <w:num w:numId="3">
    <w:abstractNumId w:val="18"/>
  </w:num>
  <w:num w:numId="4">
    <w:abstractNumId w:val="35"/>
  </w:num>
  <w:num w:numId="5">
    <w:abstractNumId w:val="1"/>
  </w:num>
  <w:num w:numId="6">
    <w:abstractNumId w:val="32"/>
  </w:num>
  <w:num w:numId="7">
    <w:abstractNumId w:val="7"/>
  </w:num>
  <w:num w:numId="8">
    <w:abstractNumId w:val="38"/>
  </w:num>
  <w:num w:numId="9">
    <w:abstractNumId w:val="14"/>
  </w:num>
  <w:num w:numId="10">
    <w:abstractNumId w:val="42"/>
  </w:num>
  <w:num w:numId="11">
    <w:abstractNumId w:val="5"/>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6"/>
  </w:num>
  <w:num w:numId="17">
    <w:abstractNumId w:val="21"/>
  </w:num>
  <w:num w:numId="18">
    <w:abstractNumId w:val="36"/>
  </w:num>
  <w:num w:numId="19">
    <w:abstractNumId w:val="28"/>
  </w:num>
  <w:num w:numId="20">
    <w:abstractNumId w:val="19"/>
  </w:num>
  <w:num w:numId="21">
    <w:abstractNumId w:val="3"/>
  </w:num>
  <w:num w:numId="22">
    <w:abstractNumId w:val="4"/>
  </w:num>
  <w:num w:numId="23">
    <w:abstractNumId w:val="13"/>
  </w:num>
  <w:num w:numId="24">
    <w:abstractNumId w:val="31"/>
  </w:num>
  <w:num w:numId="25">
    <w:abstractNumId w:val="22"/>
  </w:num>
  <w:num w:numId="26">
    <w:abstractNumId w:val="20"/>
  </w:num>
  <w:num w:numId="27">
    <w:abstractNumId w:val="29"/>
  </w:num>
  <w:num w:numId="28">
    <w:abstractNumId w:val="24"/>
  </w:num>
  <w:num w:numId="29">
    <w:abstractNumId w:val="27"/>
  </w:num>
  <w:num w:numId="30">
    <w:abstractNumId w:val="15"/>
  </w:num>
  <w:num w:numId="31">
    <w:abstractNumId w:val="10"/>
  </w:num>
  <w:num w:numId="32">
    <w:abstractNumId w:val="40"/>
  </w:num>
  <w:num w:numId="33">
    <w:abstractNumId w:val="37"/>
  </w:num>
  <w:num w:numId="34">
    <w:abstractNumId w:val="2"/>
  </w:num>
  <w:num w:numId="35">
    <w:abstractNumId w:val="30"/>
  </w:num>
  <w:num w:numId="36">
    <w:abstractNumId w:val="41"/>
  </w:num>
  <w:num w:numId="37">
    <w:abstractNumId w:val="39"/>
  </w:num>
  <w:num w:numId="38">
    <w:abstractNumId w:val="23"/>
  </w:num>
  <w:num w:numId="39">
    <w:abstractNumId w:val="11"/>
  </w:num>
  <w:num w:numId="40">
    <w:abstractNumId w:val="8"/>
  </w:num>
  <w:num w:numId="41">
    <w:abstractNumId w:val="12"/>
  </w:num>
  <w:num w:numId="42">
    <w:abstractNumId w:val="17"/>
  </w:num>
  <w:num w:numId="43">
    <w:abstractNumId w:val="34"/>
  </w:num>
  <w:num w:numId="44">
    <w:abstractNumId w:val="17"/>
  </w:num>
  <w:num w:numId="4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BD"/>
    <w:rsid w:val="00004A0F"/>
    <w:rsid w:val="000062CC"/>
    <w:rsid w:val="000068E9"/>
    <w:rsid w:val="00010973"/>
    <w:rsid w:val="000133E3"/>
    <w:rsid w:val="000137E0"/>
    <w:rsid w:val="00014C7B"/>
    <w:rsid w:val="00015E12"/>
    <w:rsid w:val="000161B1"/>
    <w:rsid w:val="00016621"/>
    <w:rsid w:val="00023C99"/>
    <w:rsid w:val="00023CF1"/>
    <w:rsid w:val="00024391"/>
    <w:rsid w:val="0002572D"/>
    <w:rsid w:val="000257A1"/>
    <w:rsid w:val="00026433"/>
    <w:rsid w:val="0003012F"/>
    <w:rsid w:val="0003181C"/>
    <w:rsid w:val="00031D63"/>
    <w:rsid w:val="00033E56"/>
    <w:rsid w:val="0003555B"/>
    <w:rsid w:val="0003696F"/>
    <w:rsid w:val="00043385"/>
    <w:rsid w:val="0004382F"/>
    <w:rsid w:val="00044628"/>
    <w:rsid w:val="0004663E"/>
    <w:rsid w:val="00047741"/>
    <w:rsid w:val="00051CB8"/>
    <w:rsid w:val="000552FB"/>
    <w:rsid w:val="00057244"/>
    <w:rsid w:val="00057EDD"/>
    <w:rsid w:val="0006038B"/>
    <w:rsid w:val="000615A2"/>
    <w:rsid w:val="00061DF2"/>
    <w:rsid w:val="00063E1A"/>
    <w:rsid w:val="000653D0"/>
    <w:rsid w:val="00065A8C"/>
    <w:rsid w:val="00065B22"/>
    <w:rsid w:val="0006600F"/>
    <w:rsid w:val="00070646"/>
    <w:rsid w:val="000708AF"/>
    <w:rsid w:val="00073904"/>
    <w:rsid w:val="00073F8F"/>
    <w:rsid w:val="00074E6C"/>
    <w:rsid w:val="000752E2"/>
    <w:rsid w:val="00084F5A"/>
    <w:rsid w:val="00085EB3"/>
    <w:rsid w:val="000870AC"/>
    <w:rsid w:val="0009151A"/>
    <w:rsid w:val="0009264B"/>
    <w:rsid w:val="00093B39"/>
    <w:rsid w:val="0009516D"/>
    <w:rsid w:val="00095258"/>
    <w:rsid w:val="000957D1"/>
    <w:rsid w:val="00096496"/>
    <w:rsid w:val="000969E3"/>
    <w:rsid w:val="000A3959"/>
    <w:rsid w:val="000A5AB7"/>
    <w:rsid w:val="000A5C52"/>
    <w:rsid w:val="000A7825"/>
    <w:rsid w:val="000A7976"/>
    <w:rsid w:val="000A7CBA"/>
    <w:rsid w:val="000B238D"/>
    <w:rsid w:val="000B245E"/>
    <w:rsid w:val="000B3BAB"/>
    <w:rsid w:val="000B756F"/>
    <w:rsid w:val="000B7F45"/>
    <w:rsid w:val="000C3699"/>
    <w:rsid w:val="000C3BF8"/>
    <w:rsid w:val="000D0D79"/>
    <w:rsid w:val="000D1026"/>
    <w:rsid w:val="000D1ED4"/>
    <w:rsid w:val="000D3D67"/>
    <w:rsid w:val="000D404B"/>
    <w:rsid w:val="000D4DB7"/>
    <w:rsid w:val="000D55EB"/>
    <w:rsid w:val="000D5B63"/>
    <w:rsid w:val="000D7301"/>
    <w:rsid w:val="000E5CAB"/>
    <w:rsid w:val="000E733F"/>
    <w:rsid w:val="000E7A40"/>
    <w:rsid w:val="000F25EC"/>
    <w:rsid w:val="000F2A26"/>
    <w:rsid w:val="000F3314"/>
    <w:rsid w:val="000F59ED"/>
    <w:rsid w:val="000F5C76"/>
    <w:rsid w:val="000F7190"/>
    <w:rsid w:val="00104F03"/>
    <w:rsid w:val="001053BE"/>
    <w:rsid w:val="001066D8"/>
    <w:rsid w:val="00110072"/>
    <w:rsid w:val="00112A90"/>
    <w:rsid w:val="001143D2"/>
    <w:rsid w:val="001154EC"/>
    <w:rsid w:val="00115FB5"/>
    <w:rsid w:val="0011638A"/>
    <w:rsid w:val="001172CF"/>
    <w:rsid w:val="00117995"/>
    <w:rsid w:val="00120D01"/>
    <w:rsid w:val="0012403D"/>
    <w:rsid w:val="00124452"/>
    <w:rsid w:val="001254EB"/>
    <w:rsid w:val="00125661"/>
    <w:rsid w:val="001270A7"/>
    <w:rsid w:val="00131A3A"/>
    <w:rsid w:val="0013419D"/>
    <w:rsid w:val="001342BE"/>
    <w:rsid w:val="00136CE2"/>
    <w:rsid w:val="00137BD5"/>
    <w:rsid w:val="00140E41"/>
    <w:rsid w:val="001420A7"/>
    <w:rsid w:val="001433C0"/>
    <w:rsid w:val="001464F3"/>
    <w:rsid w:val="00146EC7"/>
    <w:rsid w:val="00150651"/>
    <w:rsid w:val="00151242"/>
    <w:rsid w:val="00152093"/>
    <w:rsid w:val="00153088"/>
    <w:rsid w:val="00153D82"/>
    <w:rsid w:val="00156759"/>
    <w:rsid w:val="001573BE"/>
    <w:rsid w:val="00160A61"/>
    <w:rsid w:val="0016299B"/>
    <w:rsid w:val="00170CBD"/>
    <w:rsid w:val="00170FD5"/>
    <w:rsid w:val="00172EF4"/>
    <w:rsid w:val="00173388"/>
    <w:rsid w:val="00173ADF"/>
    <w:rsid w:val="00174A91"/>
    <w:rsid w:val="00180D70"/>
    <w:rsid w:val="001814D4"/>
    <w:rsid w:val="001818BC"/>
    <w:rsid w:val="00183EEF"/>
    <w:rsid w:val="001859C6"/>
    <w:rsid w:val="00191E6C"/>
    <w:rsid w:val="0019515E"/>
    <w:rsid w:val="001952A7"/>
    <w:rsid w:val="001956B4"/>
    <w:rsid w:val="0019606D"/>
    <w:rsid w:val="001972BB"/>
    <w:rsid w:val="001A1CEF"/>
    <w:rsid w:val="001A4AF9"/>
    <w:rsid w:val="001A52F3"/>
    <w:rsid w:val="001A6DEC"/>
    <w:rsid w:val="001B26F6"/>
    <w:rsid w:val="001C03E1"/>
    <w:rsid w:val="001C0824"/>
    <w:rsid w:val="001C18AE"/>
    <w:rsid w:val="001C2623"/>
    <w:rsid w:val="001C2A9F"/>
    <w:rsid w:val="001C2BF4"/>
    <w:rsid w:val="001C3948"/>
    <w:rsid w:val="001C5424"/>
    <w:rsid w:val="001D0E11"/>
    <w:rsid w:val="001D2394"/>
    <w:rsid w:val="001D3089"/>
    <w:rsid w:val="001D59A7"/>
    <w:rsid w:val="001D5E13"/>
    <w:rsid w:val="001D5F44"/>
    <w:rsid w:val="001D6C9A"/>
    <w:rsid w:val="001E07AD"/>
    <w:rsid w:val="001E2906"/>
    <w:rsid w:val="001E6449"/>
    <w:rsid w:val="001E7AA3"/>
    <w:rsid w:val="001F056C"/>
    <w:rsid w:val="001F072F"/>
    <w:rsid w:val="001F0D49"/>
    <w:rsid w:val="001F2402"/>
    <w:rsid w:val="001F3962"/>
    <w:rsid w:val="001F49DB"/>
    <w:rsid w:val="001F4F3F"/>
    <w:rsid w:val="001F5C41"/>
    <w:rsid w:val="001F7C9E"/>
    <w:rsid w:val="002020D8"/>
    <w:rsid w:val="002030D1"/>
    <w:rsid w:val="002071E3"/>
    <w:rsid w:val="002075CE"/>
    <w:rsid w:val="00211D9F"/>
    <w:rsid w:val="00214DBD"/>
    <w:rsid w:val="00216625"/>
    <w:rsid w:val="00220C88"/>
    <w:rsid w:val="00222DF4"/>
    <w:rsid w:val="00224214"/>
    <w:rsid w:val="002257FD"/>
    <w:rsid w:val="00227032"/>
    <w:rsid w:val="00230B3D"/>
    <w:rsid w:val="00231DC7"/>
    <w:rsid w:val="00232D93"/>
    <w:rsid w:val="002340F4"/>
    <w:rsid w:val="0023435D"/>
    <w:rsid w:val="00235233"/>
    <w:rsid w:val="00235262"/>
    <w:rsid w:val="00236299"/>
    <w:rsid w:val="00236A07"/>
    <w:rsid w:val="00236D06"/>
    <w:rsid w:val="002378D8"/>
    <w:rsid w:val="00237F19"/>
    <w:rsid w:val="00240A4D"/>
    <w:rsid w:val="00241DD7"/>
    <w:rsid w:val="0024328C"/>
    <w:rsid w:val="00243C10"/>
    <w:rsid w:val="00244D4F"/>
    <w:rsid w:val="00244DF3"/>
    <w:rsid w:val="00244F35"/>
    <w:rsid w:val="00245422"/>
    <w:rsid w:val="00245AD9"/>
    <w:rsid w:val="00247B93"/>
    <w:rsid w:val="00250395"/>
    <w:rsid w:val="00250B13"/>
    <w:rsid w:val="00250D63"/>
    <w:rsid w:val="00250FF5"/>
    <w:rsid w:val="0025334F"/>
    <w:rsid w:val="00254522"/>
    <w:rsid w:val="00255174"/>
    <w:rsid w:val="00261731"/>
    <w:rsid w:val="00261838"/>
    <w:rsid w:val="00262957"/>
    <w:rsid w:val="00263341"/>
    <w:rsid w:val="002664EC"/>
    <w:rsid w:val="00271171"/>
    <w:rsid w:val="002719DC"/>
    <w:rsid w:val="002725FF"/>
    <w:rsid w:val="00274EE4"/>
    <w:rsid w:val="002775D4"/>
    <w:rsid w:val="00281377"/>
    <w:rsid w:val="0028149E"/>
    <w:rsid w:val="002831EA"/>
    <w:rsid w:val="002839D4"/>
    <w:rsid w:val="002840DC"/>
    <w:rsid w:val="0028461B"/>
    <w:rsid w:val="002858CD"/>
    <w:rsid w:val="00286A8E"/>
    <w:rsid w:val="00287A6A"/>
    <w:rsid w:val="00291F18"/>
    <w:rsid w:val="002929ED"/>
    <w:rsid w:val="00294B23"/>
    <w:rsid w:val="002A0B88"/>
    <w:rsid w:val="002A28A6"/>
    <w:rsid w:val="002A65C3"/>
    <w:rsid w:val="002A730E"/>
    <w:rsid w:val="002B11AF"/>
    <w:rsid w:val="002B1207"/>
    <w:rsid w:val="002B27CC"/>
    <w:rsid w:val="002B2ABB"/>
    <w:rsid w:val="002B5936"/>
    <w:rsid w:val="002B5EE5"/>
    <w:rsid w:val="002B70B9"/>
    <w:rsid w:val="002C01A4"/>
    <w:rsid w:val="002C03E2"/>
    <w:rsid w:val="002C0BFB"/>
    <w:rsid w:val="002C33E0"/>
    <w:rsid w:val="002C3807"/>
    <w:rsid w:val="002C49AC"/>
    <w:rsid w:val="002C4F7F"/>
    <w:rsid w:val="002C504D"/>
    <w:rsid w:val="002C6249"/>
    <w:rsid w:val="002C70D5"/>
    <w:rsid w:val="002C7E3B"/>
    <w:rsid w:val="002C7F5B"/>
    <w:rsid w:val="002D0144"/>
    <w:rsid w:val="002D0634"/>
    <w:rsid w:val="002D18D1"/>
    <w:rsid w:val="002D2A77"/>
    <w:rsid w:val="002D2E8B"/>
    <w:rsid w:val="002D4AF8"/>
    <w:rsid w:val="002D4D3C"/>
    <w:rsid w:val="002D5D45"/>
    <w:rsid w:val="002D6603"/>
    <w:rsid w:val="002E0332"/>
    <w:rsid w:val="002E0A46"/>
    <w:rsid w:val="002E15BC"/>
    <w:rsid w:val="002E1B7B"/>
    <w:rsid w:val="002E20C7"/>
    <w:rsid w:val="002E3340"/>
    <w:rsid w:val="002E44EA"/>
    <w:rsid w:val="002E4973"/>
    <w:rsid w:val="002E56F9"/>
    <w:rsid w:val="002E7A8D"/>
    <w:rsid w:val="002F0586"/>
    <w:rsid w:val="002F0EDF"/>
    <w:rsid w:val="002F140B"/>
    <w:rsid w:val="002F1858"/>
    <w:rsid w:val="002F5728"/>
    <w:rsid w:val="002F730F"/>
    <w:rsid w:val="002F7FED"/>
    <w:rsid w:val="003117FE"/>
    <w:rsid w:val="003137F9"/>
    <w:rsid w:val="00314477"/>
    <w:rsid w:val="00315CAB"/>
    <w:rsid w:val="00316991"/>
    <w:rsid w:val="00317750"/>
    <w:rsid w:val="003210C0"/>
    <w:rsid w:val="0032193E"/>
    <w:rsid w:val="00323CFE"/>
    <w:rsid w:val="0032404D"/>
    <w:rsid w:val="003254A0"/>
    <w:rsid w:val="00325E44"/>
    <w:rsid w:val="003313BB"/>
    <w:rsid w:val="00331B9E"/>
    <w:rsid w:val="00331C77"/>
    <w:rsid w:val="0033402E"/>
    <w:rsid w:val="003345B9"/>
    <w:rsid w:val="00337D99"/>
    <w:rsid w:val="003422EC"/>
    <w:rsid w:val="003425C2"/>
    <w:rsid w:val="003452AF"/>
    <w:rsid w:val="0034597F"/>
    <w:rsid w:val="00345B23"/>
    <w:rsid w:val="00345E2E"/>
    <w:rsid w:val="00346E87"/>
    <w:rsid w:val="00347754"/>
    <w:rsid w:val="00350AEB"/>
    <w:rsid w:val="0035203C"/>
    <w:rsid w:val="003539C5"/>
    <w:rsid w:val="00354CAC"/>
    <w:rsid w:val="00355A15"/>
    <w:rsid w:val="00356E3A"/>
    <w:rsid w:val="00357954"/>
    <w:rsid w:val="00357AA1"/>
    <w:rsid w:val="00360225"/>
    <w:rsid w:val="00360625"/>
    <w:rsid w:val="00364EC2"/>
    <w:rsid w:val="003665B3"/>
    <w:rsid w:val="00366B81"/>
    <w:rsid w:val="0036700C"/>
    <w:rsid w:val="00371ACC"/>
    <w:rsid w:val="00371BD5"/>
    <w:rsid w:val="00385A08"/>
    <w:rsid w:val="003873C3"/>
    <w:rsid w:val="00387D4B"/>
    <w:rsid w:val="00390AFC"/>
    <w:rsid w:val="00392EF9"/>
    <w:rsid w:val="00394D0E"/>
    <w:rsid w:val="003972FA"/>
    <w:rsid w:val="003A01D6"/>
    <w:rsid w:val="003A0BC3"/>
    <w:rsid w:val="003A1DE6"/>
    <w:rsid w:val="003A32DE"/>
    <w:rsid w:val="003A4B3C"/>
    <w:rsid w:val="003A5DF2"/>
    <w:rsid w:val="003A606D"/>
    <w:rsid w:val="003A623A"/>
    <w:rsid w:val="003B2DF6"/>
    <w:rsid w:val="003B4D7C"/>
    <w:rsid w:val="003B5538"/>
    <w:rsid w:val="003B6CFB"/>
    <w:rsid w:val="003C12D1"/>
    <w:rsid w:val="003C250F"/>
    <w:rsid w:val="003C598C"/>
    <w:rsid w:val="003C739F"/>
    <w:rsid w:val="003C73D0"/>
    <w:rsid w:val="003C7ABE"/>
    <w:rsid w:val="003D02F1"/>
    <w:rsid w:val="003D0F78"/>
    <w:rsid w:val="003D1DC9"/>
    <w:rsid w:val="003D381E"/>
    <w:rsid w:val="003D4A9A"/>
    <w:rsid w:val="003D57BA"/>
    <w:rsid w:val="003D70CC"/>
    <w:rsid w:val="003D7574"/>
    <w:rsid w:val="003D763F"/>
    <w:rsid w:val="003D7AD4"/>
    <w:rsid w:val="003E0AB8"/>
    <w:rsid w:val="003E1633"/>
    <w:rsid w:val="003E1C87"/>
    <w:rsid w:val="003E31F4"/>
    <w:rsid w:val="003E4940"/>
    <w:rsid w:val="003E51D4"/>
    <w:rsid w:val="003E6A45"/>
    <w:rsid w:val="003E6BC4"/>
    <w:rsid w:val="003E79F4"/>
    <w:rsid w:val="003F1E3E"/>
    <w:rsid w:val="003F4E8F"/>
    <w:rsid w:val="003F60D7"/>
    <w:rsid w:val="003F729B"/>
    <w:rsid w:val="003F7CFF"/>
    <w:rsid w:val="00400DCC"/>
    <w:rsid w:val="00400F05"/>
    <w:rsid w:val="00404B1C"/>
    <w:rsid w:val="00406475"/>
    <w:rsid w:val="00406F7A"/>
    <w:rsid w:val="00407851"/>
    <w:rsid w:val="00410E9A"/>
    <w:rsid w:val="00412AFF"/>
    <w:rsid w:val="004149CE"/>
    <w:rsid w:val="00414AF0"/>
    <w:rsid w:val="00415D50"/>
    <w:rsid w:val="00415E02"/>
    <w:rsid w:val="00417A86"/>
    <w:rsid w:val="00420A4F"/>
    <w:rsid w:val="00421204"/>
    <w:rsid w:val="00422C69"/>
    <w:rsid w:val="00424DDE"/>
    <w:rsid w:val="004254B3"/>
    <w:rsid w:val="0042716C"/>
    <w:rsid w:val="004346CB"/>
    <w:rsid w:val="004347C0"/>
    <w:rsid w:val="00436BAB"/>
    <w:rsid w:val="00437B6A"/>
    <w:rsid w:val="004402F0"/>
    <w:rsid w:val="00442F09"/>
    <w:rsid w:val="0044391A"/>
    <w:rsid w:val="00446EB9"/>
    <w:rsid w:val="0044710C"/>
    <w:rsid w:val="004506A2"/>
    <w:rsid w:val="00450705"/>
    <w:rsid w:val="0045671E"/>
    <w:rsid w:val="00456FA8"/>
    <w:rsid w:val="00457420"/>
    <w:rsid w:val="0046167A"/>
    <w:rsid w:val="0046245A"/>
    <w:rsid w:val="00462947"/>
    <w:rsid w:val="00463064"/>
    <w:rsid w:val="0046371F"/>
    <w:rsid w:val="004708A0"/>
    <w:rsid w:val="00475358"/>
    <w:rsid w:val="004756C0"/>
    <w:rsid w:val="00475C58"/>
    <w:rsid w:val="00476008"/>
    <w:rsid w:val="00476326"/>
    <w:rsid w:val="004772A2"/>
    <w:rsid w:val="0047738A"/>
    <w:rsid w:val="00477EB0"/>
    <w:rsid w:val="004813E1"/>
    <w:rsid w:val="00482547"/>
    <w:rsid w:val="0048300C"/>
    <w:rsid w:val="0048303B"/>
    <w:rsid w:val="0048411F"/>
    <w:rsid w:val="00484185"/>
    <w:rsid w:val="0048673A"/>
    <w:rsid w:val="00487AD6"/>
    <w:rsid w:val="0049007B"/>
    <w:rsid w:val="004918F3"/>
    <w:rsid w:val="0049279C"/>
    <w:rsid w:val="004934FD"/>
    <w:rsid w:val="00494670"/>
    <w:rsid w:val="00494E88"/>
    <w:rsid w:val="00496D1D"/>
    <w:rsid w:val="00497630"/>
    <w:rsid w:val="004A3298"/>
    <w:rsid w:val="004A39AB"/>
    <w:rsid w:val="004A44BB"/>
    <w:rsid w:val="004A6FBD"/>
    <w:rsid w:val="004B58BA"/>
    <w:rsid w:val="004B7F40"/>
    <w:rsid w:val="004C0737"/>
    <w:rsid w:val="004C0BEB"/>
    <w:rsid w:val="004C1AAC"/>
    <w:rsid w:val="004C2630"/>
    <w:rsid w:val="004C31ED"/>
    <w:rsid w:val="004C3224"/>
    <w:rsid w:val="004C4814"/>
    <w:rsid w:val="004D1985"/>
    <w:rsid w:val="004D29E1"/>
    <w:rsid w:val="004D3346"/>
    <w:rsid w:val="004D3C78"/>
    <w:rsid w:val="004D42F2"/>
    <w:rsid w:val="004D5918"/>
    <w:rsid w:val="004D605D"/>
    <w:rsid w:val="004D65D7"/>
    <w:rsid w:val="004D7D68"/>
    <w:rsid w:val="004E1016"/>
    <w:rsid w:val="004E176E"/>
    <w:rsid w:val="004E1E46"/>
    <w:rsid w:val="004E41EB"/>
    <w:rsid w:val="004E5ADF"/>
    <w:rsid w:val="004E5EC5"/>
    <w:rsid w:val="004E79E6"/>
    <w:rsid w:val="004F0615"/>
    <w:rsid w:val="004F3054"/>
    <w:rsid w:val="004F305E"/>
    <w:rsid w:val="004F43A4"/>
    <w:rsid w:val="004F58E2"/>
    <w:rsid w:val="00500FB3"/>
    <w:rsid w:val="005014E3"/>
    <w:rsid w:val="005021F0"/>
    <w:rsid w:val="0050325B"/>
    <w:rsid w:val="00506241"/>
    <w:rsid w:val="00506859"/>
    <w:rsid w:val="005069C5"/>
    <w:rsid w:val="005072D5"/>
    <w:rsid w:val="0050799C"/>
    <w:rsid w:val="005100FD"/>
    <w:rsid w:val="005102E6"/>
    <w:rsid w:val="00511993"/>
    <w:rsid w:val="005131AE"/>
    <w:rsid w:val="00513ED1"/>
    <w:rsid w:val="00514B5C"/>
    <w:rsid w:val="0051663C"/>
    <w:rsid w:val="005171AA"/>
    <w:rsid w:val="005205AA"/>
    <w:rsid w:val="00524AF6"/>
    <w:rsid w:val="00526AD4"/>
    <w:rsid w:val="005273CA"/>
    <w:rsid w:val="00527A13"/>
    <w:rsid w:val="00531B8D"/>
    <w:rsid w:val="0053214F"/>
    <w:rsid w:val="005357DF"/>
    <w:rsid w:val="00535E79"/>
    <w:rsid w:val="00536746"/>
    <w:rsid w:val="00537D19"/>
    <w:rsid w:val="005403E0"/>
    <w:rsid w:val="00544109"/>
    <w:rsid w:val="005442B9"/>
    <w:rsid w:val="00545EB4"/>
    <w:rsid w:val="00545F90"/>
    <w:rsid w:val="00546428"/>
    <w:rsid w:val="00552607"/>
    <w:rsid w:val="00555526"/>
    <w:rsid w:val="00557FB3"/>
    <w:rsid w:val="00560DCA"/>
    <w:rsid w:val="00560ED9"/>
    <w:rsid w:val="005612B3"/>
    <w:rsid w:val="005620B2"/>
    <w:rsid w:val="00564A70"/>
    <w:rsid w:val="00564D7B"/>
    <w:rsid w:val="005732AE"/>
    <w:rsid w:val="005754F4"/>
    <w:rsid w:val="00575E7E"/>
    <w:rsid w:val="0057650D"/>
    <w:rsid w:val="0057799C"/>
    <w:rsid w:val="00580F95"/>
    <w:rsid w:val="005819C8"/>
    <w:rsid w:val="00582401"/>
    <w:rsid w:val="00582A42"/>
    <w:rsid w:val="0058373C"/>
    <w:rsid w:val="00586AB8"/>
    <w:rsid w:val="00587D98"/>
    <w:rsid w:val="00587F14"/>
    <w:rsid w:val="0059257A"/>
    <w:rsid w:val="00592775"/>
    <w:rsid w:val="0059501A"/>
    <w:rsid w:val="00597677"/>
    <w:rsid w:val="005A2424"/>
    <w:rsid w:val="005A2A53"/>
    <w:rsid w:val="005A4E74"/>
    <w:rsid w:val="005B1C0C"/>
    <w:rsid w:val="005B5B5E"/>
    <w:rsid w:val="005C254C"/>
    <w:rsid w:val="005C613E"/>
    <w:rsid w:val="005D0DB0"/>
    <w:rsid w:val="005D1D16"/>
    <w:rsid w:val="005D1E7E"/>
    <w:rsid w:val="005D2A72"/>
    <w:rsid w:val="005D3A7F"/>
    <w:rsid w:val="005D416F"/>
    <w:rsid w:val="005D4BD0"/>
    <w:rsid w:val="005D7034"/>
    <w:rsid w:val="005D765A"/>
    <w:rsid w:val="005D7F18"/>
    <w:rsid w:val="005D7F84"/>
    <w:rsid w:val="005E0F58"/>
    <w:rsid w:val="005E1CF3"/>
    <w:rsid w:val="005E2DA2"/>
    <w:rsid w:val="005E30E8"/>
    <w:rsid w:val="005E38F9"/>
    <w:rsid w:val="005E42FE"/>
    <w:rsid w:val="005E4D49"/>
    <w:rsid w:val="005E673F"/>
    <w:rsid w:val="005F1183"/>
    <w:rsid w:val="005F1808"/>
    <w:rsid w:val="005F23C7"/>
    <w:rsid w:val="005F3CA1"/>
    <w:rsid w:val="005F44AB"/>
    <w:rsid w:val="005F7D10"/>
    <w:rsid w:val="0060025F"/>
    <w:rsid w:val="00600CB4"/>
    <w:rsid w:val="00601087"/>
    <w:rsid w:val="006014C4"/>
    <w:rsid w:val="00602B43"/>
    <w:rsid w:val="00605039"/>
    <w:rsid w:val="00605708"/>
    <w:rsid w:val="006057BC"/>
    <w:rsid w:val="00606888"/>
    <w:rsid w:val="006108B7"/>
    <w:rsid w:val="006111CD"/>
    <w:rsid w:val="0061339A"/>
    <w:rsid w:val="00613473"/>
    <w:rsid w:val="0061353A"/>
    <w:rsid w:val="00615CEB"/>
    <w:rsid w:val="00617AA0"/>
    <w:rsid w:val="006227FE"/>
    <w:rsid w:val="0062368B"/>
    <w:rsid w:val="0062383A"/>
    <w:rsid w:val="00623E6C"/>
    <w:rsid w:val="006247C6"/>
    <w:rsid w:val="00627AEE"/>
    <w:rsid w:val="00634B2E"/>
    <w:rsid w:val="00634D87"/>
    <w:rsid w:val="006361B9"/>
    <w:rsid w:val="0063726B"/>
    <w:rsid w:val="00637511"/>
    <w:rsid w:val="00637842"/>
    <w:rsid w:val="00640EEA"/>
    <w:rsid w:val="00642823"/>
    <w:rsid w:val="006435AC"/>
    <w:rsid w:val="0064506F"/>
    <w:rsid w:val="00645353"/>
    <w:rsid w:val="00645B0D"/>
    <w:rsid w:val="006467F0"/>
    <w:rsid w:val="00650F0A"/>
    <w:rsid w:val="00652BE4"/>
    <w:rsid w:val="00653231"/>
    <w:rsid w:val="00660490"/>
    <w:rsid w:val="00661817"/>
    <w:rsid w:val="00662168"/>
    <w:rsid w:val="00662B3E"/>
    <w:rsid w:val="00663E4E"/>
    <w:rsid w:val="00664189"/>
    <w:rsid w:val="00664950"/>
    <w:rsid w:val="00671CA2"/>
    <w:rsid w:val="00672337"/>
    <w:rsid w:val="00677390"/>
    <w:rsid w:val="00677A83"/>
    <w:rsid w:val="00684883"/>
    <w:rsid w:val="00684B67"/>
    <w:rsid w:val="00684E95"/>
    <w:rsid w:val="006909C1"/>
    <w:rsid w:val="00691C06"/>
    <w:rsid w:val="006952CA"/>
    <w:rsid w:val="00695C4F"/>
    <w:rsid w:val="00696604"/>
    <w:rsid w:val="006A1FA3"/>
    <w:rsid w:val="006A6561"/>
    <w:rsid w:val="006A781F"/>
    <w:rsid w:val="006A7EEF"/>
    <w:rsid w:val="006B0A1A"/>
    <w:rsid w:val="006B1820"/>
    <w:rsid w:val="006B2E9B"/>
    <w:rsid w:val="006B3427"/>
    <w:rsid w:val="006B4B20"/>
    <w:rsid w:val="006B7D51"/>
    <w:rsid w:val="006C671E"/>
    <w:rsid w:val="006D01A3"/>
    <w:rsid w:val="006D0AFA"/>
    <w:rsid w:val="006D1845"/>
    <w:rsid w:val="006D1916"/>
    <w:rsid w:val="006D5490"/>
    <w:rsid w:val="006E2C41"/>
    <w:rsid w:val="006E3519"/>
    <w:rsid w:val="006E4F93"/>
    <w:rsid w:val="006E7D6B"/>
    <w:rsid w:val="006F53B5"/>
    <w:rsid w:val="006F6BDE"/>
    <w:rsid w:val="0070226A"/>
    <w:rsid w:val="00704D46"/>
    <w:rsid w:val="00705CF6"/>
    <w:rsid w:val="00706490"/>
    <w:rsid w:val="00707161"/>
    <w:rsid w:val="00711051"/>
    <w:rsid w:val="007114EA"/>
    <w:rsid w:val="00711809"/>
    <w:rsid w:val="0071339A"/>
    <w:rsid w:val="00713FF8"/>
    <w:rsid w:val="00714070"/>
    <w:rsid w:val="007157A5"/>
    <w:rsid w:val="00716341"/>
    <w:rsid w:val="00716CBF"/>
    <w:rsid w:val="00716EEB"/>
    <w:rsid w:val="00722882"/>
    <w:rsid w:val="00724190"/>
    <w:rsid w:val="0072505C"/>
    <w:rsid w:val="007269F9"/>
    <w:rsid w:val="007314C2"/>
    <w:rsid w:val="007347A0"/>
    <w:rsid w:val="007412F5"/>
    <w:rsid w:val="007415FD"/>
    <w:rsid w:val="00742613"/>
    <w:rsid w:val="00742D15"/>
    <w:rsid w:val="00745BBB"/>
    <w:rsid w:val="007478B3"/>
    <w:rsid w:val="00751003"/>
    <w:rsid w:val="00755C81"/>
    <w:rsid w:val="00756F1E"/>
    <w:rsid w:val="00760EE6"/>
    <w:rsid w:val="00761CE2"/>
    <w:rsid w:val="00762010"/>
    <w:rsid w:val="00762DB9"/>
    <w:rsid w:val="007651BB"/>
    <w:rsid w:val="007652D3"/>
    <w:rsid w:val="00767822"/>
    <w:rsid w:val="00772BBA"/>
    <w:rsid w:val="0077354E"/>
    <w:rsid w:val="00773920"/>
    <w:rsid w:val="00774469"/>
    <w:rsid w:val="007766A7"/>
    <w:rsid w:val="0077764E"/>
    <w:rsid w:val="007778DF"/>
    <w:rsid w:val="0077791E"/>
    <w:rsid w:val="007806F0"/>
    <w:rsid w:val="00781B8E"/>
    <w:rsid w:val="00781BBA"/>
    <w:rsid w:val="00784089"/>
    <w:rsid w:val="00787289"/>
    <w:rsid w:val="00791837"/>
    <w:rsid w:val="00792333"/>
    <w:rsid w:val="00793F16"/>
    <w:rsid w:val="00795705"/>
    <w:rsid w:val="00795AA0"/>
    <w:rsid w:val="007A0E4D"/>
    <w:rsid w:val="007A4131"/>
    <w:rsid w:val="007A4272"/>
    <w:rsid w:val="007A477C"/>
    <w:rsid w:val="007A4968"/>
    <w:rsid w:val="007B06B3"/>
    <w:rsid w:val="007B1DE7"/>
    <w:rsid w:val="007B277F"/>
    <w:rsid w:val="007B35A6"/>
    <w:rsid w:val="007B3CD5"/>
    <w:rsid w:val="007B3E3F"/>
    <w:rsid w:val="007B528D"/>
    <w:rsid w:val="007B58DE"/>
    <w:rsid w:val="007B6A18"/>
    <w:rsid w:val="007B77E4"/>
    <w:rsid w:val="007C33FA"/>
    <w:rsid w:val="007C35F8"/>
    <w:rsid w:val="007C37BB"/>
    <w:rsid w:val="007C3EDB"/>
    <w:rsid w:val="007D2C90"/>
    <w:rsid w:val="007D3932"/>
    <w:rsid w:val="007D4CAA"/>
    <w:rsid w:val="007D51AE"/>
    <w:rsid w:val="007D5C1A"/>
    <w:rsid w:val="007D6B3E"/>
    <w:rsid w:val="007E5669"/>
    <w:rsid w:val="007E5A0C"/>
    <w:rsid w:val="007E5A4C"/>
    <w:rsid w:val="007E73A0"/>
    <w:rsid w:val="007E7A9F"/>
    <w:rsid w:val="007E7C46"/>
    <w:rsid w:val="007F10D5"/>
    <w:rsid w:val="007F38FB"/>
    <w:rsid w:val="007F70B3"/>
    <w:rsid w:val="007F7A73"/>
    <w:rsid w:val="0080029A"/>
    <w:rsid w:val="0080282E"/>
    <w:rsid w:val="008029EE"/>
    <w:rsid w:val="00805628"/>
    <w:rsid w:val="00805A20"/>
    <w:rsid w:val="00806CFF"/>
    <w:rsid w:val="00806F0E"/>
    <w:rsid w:val="008078DC"/>
    <w:rsid w:val="00812603"/>
    <w:rsid w:val="008140C6"/>
    <w:rsid w:val="00815FE5"/>
    <w:rsid w:val="008169E1"/>
    <w:rsid w:val="00816EB1"/>
    <w:rsid w:val="0082047A"/>
    <w:rsid w:val="0082062E"/>
    <w:rsid w:val="00820DF4"/>
    <w:rsid w:val="008219B5"/>
    <w:rsid w:val="00824915"/>
    <w:rsid w:val="0082527C"/>
    <w:rsid w:val="008256B4"/>
    <w:rsid w:val="00826154"/>
    <w:rsid w:val="00826B09"/>
    <w:rsid w:val="008277E8"/>
    <w:rsid w:val="008300AD"/>
    <w:rsid w:val="00830F17"/>
    <w:rsid w:val="00833A71"/>
    <w:rsid w:val="008355FD"/>
    <w:rsid w:val="008376C0"/>
    <w:rsid w:val="008508B8"/>
    <w:rsid w:val="0085163F"/>
    <w:rsid w:val="008517F2"/>
    <w:rsid w:val="00852A46"/>
    <w:rsid w:val="008560B4"/>
    <w:rsid w:val="00856A54"/>
    <w:rsid w:val="00856EB8"/>
    <w:rsid w:val="0085778C"/>
    <w:rsid w:val="00857C40"/>
    <w:rsid w:val="00857E45"/>
    <w:rsid w:val="00861DFD"/>
    <w:rsid w:val="0086334E"/>
    <w:rsid w:val="00864E36"/>
    <w:rsid w:val="00865711"/>
    <w:rsid w:val="0086579D"/>
    <w:rsid w:val="00865F1A"/>
    <w:rsid w:val="0086719B"/>
    <w:rsid w:val="00870097"/>
    <w:rsid w:val="008706BB"/>
    <w:rsid w:val="00873F5A"/>
    <w:rsid w:val="00875B30"/>
    <w:rsid w:val="008762C0"/>
    <w:rsid w:val="00877320"/>
    <w:rsid w:val="00882418"/>
    <w:rsid w:val="00885D48"/>
    <w:rsid w:val="008866F3"/>
    <w:rsid w:val="008908DF"/>
    <w:rsid w:val="00894577"/>
    <w:rsid w:val="008956E8"/>
    <w:rsid w:val="008A0447"/>
    <w:rsid w:val="008A2455"/>
    <w:rsid w:val="008A5E88"/>
    <w:rsid w:val="008A6558"/>
    <w:rsid w:val="008A6E12"/>
    <w:rsid w:val="008A7BC3"/>
    <w:rsid w:val="008B08E3"/>
    <w:rsid w:val="008B51E5"/>
    <w:rsid w:val="008B569B"/>
    <w:rsid w:val="008B58C6"/>
    <w:rsid w:val="008B5C09"/>
    <w:rsid w:val="008B6C39"/>
    <w:rsid w:val="008B76D3"/>
    <w:rsid w:val="008C21A9"/>
    <w:rsid w:val="008C4C31"/>
    <w:rsid w:val="008C4D33"/>
    <w:rsid w:val="008C69CA"/>
    <w:rsid w:val="008D2153"/>
    <w:rsid w:val="008D2556"/>
    <w:rsid w:val="008D3C5C"/>
    <w:rsid w:val="008D3EE2"/>
    <w:rsid w:val="008D3F02"/>
    <w:rsid w:val="008D4557"/>
    <w:rsid w:val="008D4C6E"/>
    <w:rsid w:val="008D540E"/>
    <w:rsid w:val="008D6DB0"/>
    <w:rsid w:val="008D7632"/>
    <w:rsid w:val="008E27A1"/>
    <w:rsid w:val="008E28DF"/>
    <w:rsid w:val="008E3BE4"/>
    <w:rsid w:val="008E4458"/>
    <w:rsid w:val="008E5C1C"/>
    <w:rsid w:val="008E7BCD"/>
    <w:rsid w:val="008E7DA4"/>
    <w:rsid w:val="008F0987"/>
    <w:rsid w:val="008F0BCC"/>
    <w:rsid w:val="008F0E00"/>
    <w:rsid w:val="008F2A1F"/>
    <w:rsid w:val="008F442D"/>
    <w:rsid w:val="008F544B"/>
    <w:rsid w:val="008F6FEE"/>
    <w:rsid w:val="00902461"/>
    <w:rsid w:val="00902BB6"/>
    <w:rsid w:val="00906FA4"/>
    <w:rsid w:val="0091013D"/>
    <w:rsid w:val="009108EC"/>
    <w:rsid w:val="00910C1F"/>
    <w:rsid w:val="00915FF0"/>
    <w:rsid w:val="00917158"/>
    <w:rsid w:val="00920254"/>
    <w:rsid w:val="0092246F"/>
    <w:rsid w:val="0092252D"/>
    <w:rsid w:val="009226E8"/>
    <w:rsid w:val="00923971"/>
    <w:rsid w:val="0092462D"/>
    <w:rsid w:val="009248AB"/>
    <w:rsid w:val="00925163"/>
    <w:rsid w:val="00925E3D"/>
    <w:rsid w:val="0093392D"/>
    <w:rsid w:val="0093542E"/>
    <w:rsid w:val="00935488"/>
    <w:rsid w:val="00935491"/>
    <w:rsid w:val="00942447"/>
    <w:rsid w:val="00943516"/>
    <w:rsid w:val="00944965"/>
    <w:rsid w:val="00944BA5"/>
    <w:rsid w:val="00945110"/>
    <w:rsid w:val="009458C1"/>
    <w:rsid w:val="00945F0D"/>
    <w:rsid w:val="009477C0"/>
    <w:rsid w:val="009505E9"/>
    <w:rsid w:val="00950DB9"/>
    <w:rsid w:val="00952536"/>
    <w:rsid w:val="0095316A"/>
    <w:rsid w:val="00954A84"/>
    <w:rsid w:val="00955B32"/>
    <w:rsid w:val="009562CD"/>
    <w:rsid w:val="0096160B"/>
    <w:rsid w:val="00961658"/>
    <w:rsid w:val="009631EC"/>
    <w:rsid w:val="00964FE1"/>
    <w:rsid w:val="0097526F"/>
    <w:rsid w:val="00975512"/>
    <w:rsid w:val="00975945"/>
    <w:rsid w:val="009802BA"/>
    <w:rsid w:val="00981958"/>
    <w:rsid w:val="00985D33"/>
    <w:rsid w:val="00986178"/>
    <w:rsid w:val="00986AE3"/>
    <w:rsid w:val="0099020C"/>
    <w:rsid w:val="00991E39"/>
    <w:rsid w:val="009922B2"/>
    <w:rsid w:val="00993694"/>
    <w:rsid w:val="0099514C"/>
    <w:rsid w:val="00996A24"/>
    <w:rsid w:val="009A1190"/>
    <w:rsid w:val="009A17E1"/>
    <w:rsid w:val="009A1917"/>
    <w:rsid w:val="009A3CBA"/>
    <w:rsid w:val="009A577B"/>
    <w:rsid w:val="009A5B2C"/>
    <w:rsid w:val="009A5EF9"/>
    <w:rsid w:val="009A7D57"/>
    <w:rsid w:val="009B2607"/>
    <w:rsid w:val="009B5EA3"/>
    <w:rsid w:val="009B71DB"/>
    <w:rsid w:val="009C5A54"/>
    <w:rsid w:val="009D15BA"/>
    <w:rsid w:val="009D4774"/>
    <w:rsid w:val="009E042F"/>
    <w:rsid w:val="009E124E"/>
    <w:rsid w:val="009E1972"/>
    <w:rsid w:val="009E3AE9"/>
    <w:rsid w:val="009E4631"/>
    <w:rsid w:val="009E4E12"/>
    <w:rsid w:val="009E54AF"/>
    <w:rsid w:val="009E7E58"/>
    <w:rsid w:val="009F2352"/>
    <w:rsid w:val="009F2DBF"/>
    <w:rsid w:val="009F4514"/>
    <w:rsid w:val="009F4F79"/>
    <w:rsid w:val="009F5A37"/>
    <w:rsid w:val="009F68BB"/>
    <w:rsid w:val="009F6AEC"/>
    <w:rsid w:val="009F6FF7"/>
    <w:rsid w:val="009F7546"/>
    <w:rsid w:val="00A0119F"/>
    <w:rsid w:val="00A0225E"/>
    <w:rsid w:val="00A02BF9"/>
    <w:rsid w:val="00A0374B"/>
    <w:rsid w:val="00A03B54"/>
    <w:rsid w:val="00A03E09"/>
    <w:rsid w:val="00A05774"/>
    <w:rsid w:val="00A05FEF"/>
    <w:rsid w:val="00A10B44"/>
    <w:rsid w:val="00A1269E"/>
    <w:rsid w:val="00A12730"/>
    <w:rsid w:val="00A1318C"/>
    <w:rsid w:val="00A1495B"/>
    <w:rsid w:val="00A21B01"/>
    <w:rsid w:val="00A223BA"/>
    <w:rsid w:val="00A23CE8"/>
    <w:rsid w:val="00A25466"/>
    <w:rsid w:val="00A259E6"/>
    <w:rsid w:val="00A25E38"/>
    <w:rsid w:val="00A27074"/>
    <w:rsid w:val="00A27CDB"/>
    <w:rsid w:val="00A30793"/>
    <w:rsid w:val="00A328A6"/>
    <w:rsid w:val="00A3343D"/>
    <w:rsid w:val="00A35A19"/>
    <w:rsid w:val="00A404E2"/>
    <w:rsid w:val="00A40A27"/>
    <w:rsid w:val="00A412CF"/>
    <w:rsid w:val="00A4198A"/>
    <w:rsid w:val="00A41A8A"/>
    <w:rsid w:val="00A43705"/>
    <w:rsid w:val="00A43E20"/>
    <w:rsid w:val="00A4799D"/>
    <w:rsid w:val="00A47FB0"/>
    <w:rsid w:val="00A50730"/>
    <w:rsid w:val="00A50DE1"/>
    <w:rsid w:val="00A552B4"/>
    <w:rsid w:val="00A60EDB"/>
    <w:rsid w:val="00A61263"/>
    <w:rsid w:val="00A61A19"/>
    <w:rsid w:val="00A623C0"/>
    <w:rsid w:val="00A63681"/>
    <w:rsid w:val="00A64548"/>
    <w:rsid w:val="00A67CC0"/>
    <w:rsid w:val="00A70244"/>
    <w:rsid w:val="00A7036A"/>
    <w:rsid w:val="00A703B8"/>
    <w:rsid w:val="00A71235"/>
    <w:rsid w:val="00A71382"/>
    <w:rsid w:val="00A7264C"/>
    <w:rsid w:val="00A775BF"/>
    <w:rsid w:val="00A800AC"/>
    <w:rsid w:val="00A8172B"/>
    <w:rsid w:val="00A82A98"/>
    <w:rsid w:val="00A83807"/>
    <w:rsid w:val="00A86AE5"/>
    <w:rsid w:val="00A86D93"/>
    <w:rsid w:val="00A906AC"/>
    <w:rsid w:val="00A90B6F"/>
    <w:rsid w:val="00A91DB0"/>
    <w:rsid w:val="00A91E3C"/>
    <w:rsid w:val="00A9322C"/>
    <w:rsid w:val="00A93653"/>
    <w:rsid w:val="00A94713"/>
    <w:rsid w:val="00A96549"/>
    <w:rsid w:val="00AA20B4"/>
    <w:rsid w:val="00AA22A1"/>
    <w:rsid w:val="00AA3C06"/>
    <w:rsid w:val="00AA7963"/>
    <w:rsid w:val="00AB08A6"/>
    <w:rsid w:val="00AB3574"/>
    <w:rsid w:val="00AB4B6C"/>
    <w:rsid w:val="00AB4E24"/>
    <w:rsid w:val="00AB58F0"/>
    <w:rsid w:val="00AB5BF1"/>
    <w:rsid w:val="00AB615D"/>
    <w:rsid w:val="00AC10EE"/>
    <w:rsid w:val="00AC2021"/>
    <w:rsid w:val="00AC60FC"/>
    <w:rsid w:val="00AD15AA"/>
    <w:rsid w:val="00AD1E79"/>
    <w:rsid w:val="00AD22E1"/>
    <w:rsid w:val="00AD3519"/>
    <w:rsid w:val="00AD3AD2"/>
    <w:rsid w:val="00AD58A2"/>
    <w:rsid w:val="00AD725D"/>
    <w:rsid w:val="00AD74A4"/>
    <w:rsid w:val="00AD7BC1"/>
    <w:rsid w:val="00AE1106"/>
    <w:rsid w:val="00AE1A1E"/>
    <w:rsid w:val="00AE2259"/>
    <w:rsid w:val="00AE2391"/>
    <w:rsid w:val="00AE39FD"/>
    <w:rsid w:val="00AE445B"/>
    <w:rsid w:val="00AF08F7"/>
    <w:rsid w:val="00AF0E10"/>
    <w:rsid w:val="00AF2BFC"/>
    <w:rsid w:val="00AF5E56"/>
    <w:rsid w:val="00B006C1"/>
    <w:rsid w:val="00B018BC"/>
    <w:rsid w:val="00B037DD"/>
    <w:rsid w:val="00B05891"/>
    <w:rsid w:val="00B06E28"/>
    <w:rsid w:val="00B10510"/>
    <w:rsid w:val="00B138CB"/>
    <w:rsid w:val="00B13C2A"/>
    <w:rsid w:val="00B13DC6"/>
    <w:rsid w:val="00B14856"/>
    <w:rsid w:val="00B157AC"/>
    <w:rsid w:val="00B15838"/>
    <w:rsid w:val="00B17819"/>
    <w:rsid w:val="00B233DA"/>
    <w:rsid w:val="00B24366"/>
    <w:rsid w:val="00B2490E"/>
    <w:rsid w:val="00B27B06"/>
    <w:rsid w:val="00B27FC5"/>
    <w:rsid w:val="00B305CD"/>
    <w:rsid w:val="00B3142D"/>
    <w:rsid w:val="00B32938"/>
    <w:rsid w:val="00B361AF"/>
    <w:rsid w:val="00B36279"/>
    <w:rsid w:val="00B370E2"/>
    <w:rsid w:val="00B37910"/>
    <w:rsid w:val="00B37998"/>
    <w:rsid w:val="00B41446"/>
    <w:rsid w:val="00B41EDF"/>
    <w:rsid w:val="00B42562"/>
    <w:rsid w:val="00B426AF"/>
    <w:rsid w:val="00B45833"/>
    <w:rsid w:val="00B459AD"/>
    <w:rsid w:val="00B466DE"/>
    <w:rsid w:val="00B47E3A"/>
    <w:rsid w:val="00B559AB"/>
    <w:rsid w:val="00B56AF1"/>
    <w:rsid w:val="00B56EDD"/>
    <w:rsid w:val="00B6254E"/>
    <w:rsid w:val="00B67728"/>
    <w:rsid w:val="00B7297B"/>
    <w:rsid w:val="00B76E86"/>
    <w:rsid w:val="00B80085"/>
    <w:rsid w:val="00B8017D"/>
    <w:rsid w:val="00B8099C"/>
    <w:rsid w:val="00B80CB8"/>
    <w:rsid w:val="00B830E3"/>
    <w:rsid w:val="00B839DA"/>
    <w:rsid w:val="00B83FA9"/>
    <w:rsid w:val="00B848CE"/>
    <w:rsid w:val="00B87EFF"/>
    <w:rsid w:val="00B906D2"/>
    <w:rsid w:val="00B91F6A"/>
    <w:rsid w:val="00B9392C"/>
    <w:rsid w:val="00B951A1"/>
    <w:rsid w:val="00B97B5C"/>
    <w:rsid w:val="00BA12C7"/>
    <w:rsid w:val="00BA1E1F"/>
    <w:rsid w:val="00BA2299"/>
    <w:rsid w:val="00BA25DD"/>
    <w:rsid w:val="00BA3B71"/>
    <w:rsid w:val="00BA67B0"/>
    <w:rsid w:val="00BB0135"/>
    <w:rsid w:val="00BB08CC"/>
    <w:rsid w:val="00BB0D71"/>
    <w:rsid w:val="00BB459B"/>
    <w:rsid w:val="00BB48D3"/>
    <w:rsid w:val="00BB48E7"/>
    <w:rsid w:val="00BB586D"/>
    <w:rsid w:val="00BB6EA6"/>
    <w:rsid w:val="00BB6FFC"/>
    <w:rsid w:val="00BC04E0"/>
    <w:rsid w:val="00BC198F"/>
    <w:rsid w:val="00BC2A2D"/>
    <w:rsid w:val="00BC2C8E"/>
    <w:rsid w:val="00BC5532"/>
    <w:rsid w:val="00BC587B"/>
    <w:rsid w:val="00BC5A4A"/>
    <w:rsid w:val="00BC7288"/>
    <w:rsid w:val="00BD070C"/>
    <w:rsid w:val="00BD07DA"/>
    <w:rsid w:val="00BD1183"/>
    <w:rsid w:val="00BD35D4"/>
    <w:rsid w:val="00BD43C5"/>
    <w:rsid w:val="00BD7D7A"/>
    <w:rsid w:val="00BE4565"/>
    <w:rsid w:val="00BE55CB"/>
    <w:rsid w:val="00BF4B80"/>
    <w:rsid w:val="00C042FA"/>
    <w:rsid w:val="00C04E9F"/>
    <w:rsid w:val="00C05D8C"/>
    <w:rsid w:val="00C07FB1"/>
    <w:rsid w:val="00C10BA6"/>
    <w:rsid w:val="00C11F67"/>
    <w:rsid w:val="00C123B0"/>
    <w:rsid w:val="00C17B6E"/>
    <w:rsid w:val="00C20DC0"/>
    <w:rsid w:val="00C21CE9"/>
    <w:rsid w:val="00C248AD"/>
    <w:rsid w:val="00C25238"/>
    <w:rsid w:val="00C2536A"/>
    <w:rsid w:val="00C25422"/>
    <w:rsid w:val="00C2656C"/>
    <w:rsid w:val="00C26FC6"/>
    <w:rsid w:val="00C30A49"/>
    <w:rsid w:val="00C30F5E"/>
    <w:rsid w:val="00C323A2"/>
    <w:rsid w:val="00C346F8"/>
    <w:rsid w:val="00C4147E"/>
    <w:rsid w:val="00C4188C"/>
    <w:rsid w:val="00C42619"/>
    <w:rsid w:val="00C54C85"/>
    <w:rsid w:val="00C55A31"/>
    <w:rsid w:val="00C574B9"/>
    <w:rsid w:val="00C604F8"/>
    <w:rsid w:val="00C61E4B"/>
    <w:rsid w:val="00C61F66"/>
    <w:rsid w:val="00C639C4"/>
    <w:rsid w:val="00C64281"/>
    <w:rsid w:val="00C65046"/>
    <w:rsid w:val="00C65976"/>
    <w:rsid w:val="00C66EB7"/>
    <w:rsid w:val="00C709B1"/>
    <w:rsid w:val="00C74844"/>
    <w:rsid w:val="00C776A1"/>
    <w:rsid w:val="00C77EC4"/>
    <w:rsid w:val="00C814B5"/>
    <w:rsid w:val="00C81B42"/>
    <w:rsid w:val="00C8252E"/>
    <w:rsid w:val="00C82C2A"/>
    <w:rsid w:val="00C83113"/>
    <w:rsid w:val="00C83D4F"/>
    <w:rsid w:val="00C87C2A"/>
    <w:rsid w:val="00C90146"/>
    <w:rsid w:val="00C94F7C"/>
    <w:rsid w:val="00C95795"/>
    <w:rsid w:val="00CA4CF2"/>
    <w:rsid w:val="00CA587E"/>
    <w:rsid w:val="00CB1160"/>
    <w:rsid w:val="00CB158A"/>
    <w:rsid w:val="00CB212F"/>
    <w:rsid w:val="00CB4D47"/>
    <w:rsid w:val="00CB680E"/>
    <w:rsid w:val="00CC0DBD"/>
    <w:rsid w:val="00CC467B"/>
    <w:rsid w:val="00CD1275"/>
    <w:rsid w:val="00CD2810"/>
    <w:rsid w:val="00CD5239"/>
    <w:rsid w:val="00CD568A"/>
    <w:rsid w:val="00CD71F5"/>
    <w:rsid w:val="00CE05B9"/>
    <w:rsid w:val="00CE0A79"/>
    <w:rsid w:val="00CE2001"/>
    <w:rsid w:val="00CE2949"/>
    <w:rsid w:val="00CE3160"/>
    <w:rsid w:val="00CE3911"/>
    <w:rsid w:val="00CE442E"/>
    <w:rsid w:val="00CE50C1"/>
    <w:rsid w:val="00CE71D5"/>
    <w:rsid w:val="00CF0092"/>
    <w:rsid w:val="00CF2E88"/>
    <w:rsid w:val="00CF5D92"/>
    <w:rsid w:val="00CF61C3"/>
    <w:rsid w:val="00CF67FC"/>
    <w:rsid w:val="00CF6C60"/>
    <w:rsid w:val="00D01758"/>
    <w:rsid w:val="00D0232A"/>
    <w:rsid w:val="00D037BD"/>
    <w:rsid w:val="00D0536D"/>
    <w:rsid w:val="00D060A5"/>
    <w:rsid w:val="00D062FE"/>
    <w:rsid w:val="00D10087"/>
    <w:rsid w:val="00D11F60"/>
    <w:rsid w:val="00D12C8A"/>
    <w:rsid w:val="00D137EC"/>
    <w:rsid w:val="00D159E2"/>
    <w:rsid w:val="00D15DBD"/>
    <w:rsid w:val="00D203AB"/>
    <w:rsid w:val="00D20C50"/>
    <w:rsid w:val="00D21CED"/>
    <w:rsid w:val="00D22690"/>
    <w:rsid w:val="00D23F84"/>
    <w:rsid w:val="00D245C3"/>
    <w:rsid w:val="00D26158"/>
    <w:rsid w:val="00D2787B"/>
    <w:rsid w:val="00D27907"/>
    <w:rsid w:val="00D30791"/>
    <w:rsid w:val="00D31933"/>
    <w:rsid w:val="00D32953"/>
    <w:rsid w:val="00D337E5"/>
    <w:rsid w:val="00D33935"/>
    <w:rsid w:val="00D33AB6"/>
    <w:rsid w:val="00D33F60"/>
    <w:rsid w:val="00D35A41"/>
    <w:rsid w:val="00D3788B"/>
    <w:rsid w:val="00D41806"/>
    <w:rsid w:val="00D46B9B"/>
    <w:rsid w:val="00D5391B"/>
    <w:rsid w:val="00D53981"/>
    <w:rsid w:val="00D53D2B"/>
    <w:rsid w:val="00D54120"/>
    <w:rsid w:val="00D542FF"/>
    <w:rsid w:val="00D54746"/>
    <w:rsid w:val="00D567C6"/>
    <w:rsid w:val="00D57670"/>
    <w:rsid w:val="00D576D0"/>
    <w:rsid w:val="00D60289"/>
    <w:rsid w:val="00D6160E"/>
    <w:rsid w:val="00D61638"/>
    <w:rsid w:val="00D63412"/>
    <w:rsid w:val="00D6411F"/>
    <w:rsid w:val="00D67031"/>
    <w:rsid w:val="00D675F7"/>
    <w:rsid w:val="00D6794C"/>
    <w:rsid w:val="00D67DE7"/>
    <w:rsid w:val="00D71908"/>
    <w:rsid w:val="00D7379C"/>
    <w:rsid w:val="00D73912"/>
    <w:rsid w:val="00D7513F"/>
    <w:rsid w:val="00D77878"/>
    <w:rsid w:val="00D83324"/>
    <w:rsid w:val="00D83719"/>
    <w:rsid w:val="00D83982"/>
    <w:rsid w:val="00D863ED"/>
    <w:rsid w:val="00D90836"/>
    <w:rsid w:val="00D92D35"/>
    <w:rsid w:val="00D940A9"/>
    <w:rsid w:val="00D96CB9"/>
    <w:rsid w:val="00D9718A"/>
    <w:rsid w:val="00DA0705"/>
    <w:rsid w:val="00DA197D"/>
    <w:rsid w:val="00DA1C46"/>
    <w:rsid w:val="00DA25C2"/>
    <w:rsid w:val="00DA2605"/>
    <w:rsid w:val="00DA2752"/>
    <w:rsid w:val="00DA2D26"/>
    <w:rsid w:val="00DA472F"/>
    <w:rsid w:val="00DA58C1"/>
    <w:rsid w:val="00DA6232"/>
    <w:rsid w:val="00DB33CB"/>
    <w:rsid w:val="00DB40EE"/>
    <w:rsid w:val="00DB6A29"/>
    <w:rsid w:val="00DB7675"/>
    <w:rsid w:val="00DC1951"/>
    <w:rsid w:val="00DC216A"/>
    <w:rsid w:val="00DC28D8"/>
    <w:rsid w:val="00DC29D7"/>
    <w:rsid w:val="00DC2E94"/>
    <w:rsid w:val="00DC4359"/>
    <w:rsid w:val="00DC4431"/>
    <w:rsid w:val="00DD09A2"/>
    <w:rsid w:val="00DD09E5"/>
    <w:rsid w:val="00DD0F4C"/>
    <w:rsid w:val="00DD1097"/>
    <w:rsid w:val="00DD148E"/>
    <w:rsid w:val="00DD298D"/>
    <w:rsid w:val="00DD45AB"/>
    <w:rsid w:val="00DD5660"/>
    <w:rsid w:val="00DE009D"/>
    <w:rsid w:val="00DE08E3"/>
    <w:rsid w:val="00DE1A08"/>
    <w:rsid w:val="00DE24D1"/>
    <w:rsid w:val="00DE2974"/>
    <w:rsid w:val="00DE2E77"/>
    <w:rsid w:val="00DE3A3A"/>
    <w:rsid w:val="00DE3D1B"/>
    <w:rsid w:val="00DE4CD1"/>
    <w:rsid w:val="00DE533F"/>
    <w:rsid w:val="00DF3103"/>
    <w:rsid w:val="00DF4019"/>
    <w:rsid w:val="00DF4E26"/>
    <w:rsid w:val="00DF697A"/>
    <w:rsid w:val="00DF75EA"/>
    <w:rsid w:val="00DF79EA"/>
    <w:rsid w:val="00E040DB"/>
    <w:rsid w:val="00E04831"/>
    <w:rsid w:val="00E06A34"/>
    <w:rsid w:val="00E101C2"/>
    <w:rsid w:val="00E14EA8"/>
    <w:rsid w:val="00E16D76"/>
    <w:rsid w:val="00E16D84"/>
    <w:rsid w:val="00E17872"/>
    <w:rsid w:val="00E213B0"/>
    <w:rsid w:val="00E24A68"/>
    <w:rsid w:val="00E268FB"/>
    <w:rsid w:val="00E27163"/>
    <w:rsid w:val="00E2747D"/>
    <w:rsid w:val="00E278AB"/>
    <w:rsid w:val="00E344C9"/>
    <w:rsid w:val="00E35AA3"/>
    <w:rsid w:val="00E36D83"/>
    <w:rsid w:val="00E4134C"/>
    <w:rsid w:val="00E43B61"/>
    <w:rsid w:val="00E46A19"/>
    <w:rsid w:val="00E46CCF"/>
    <w:rsid w:val="00E47DD2"/>
    <w:rsid w:val="00E50122"/>
    <w:rsid w:val="00E51B28"/>
    <w:rsid w:val="00E53B2B"/>
    <w:rsid w:val="00E54C40"/>
    <w:rsid w:val="00E558F5"/>
    <w:rsid w:val="00E62E99"/>
    <w:rsid w:val="00E636C1"/>
    <w:rsid w:val="00E63776"/>
    <w:rsid w:val="00E66662"/>
    <w:rsid w:val="00E71ABD"/>
    <w:rsid w:val="00E734A1"/>
    <w:rsid w:val="00E73C17"/>
    <w:rsid w:val="00E73D91"/>
    <w:rsid w:val="00E746BB"/>
    <w:rsid w:val="00E76159"/>
    <w:rsid w:val="00E77EBA"/>
    <w:rsid w:val="00E830B9"/>
    <w:rsid w:val="00E83BDB"/>
    <w:rsid w:val="00E858D3"/>
    <w:rsid w:val="00E90992"/>
    <w:rsid w:val="00E92115"/>
    <w:rsid w:val="00E9239F"/>
    <w:rsid w:val="00E932AE"/>
    <w:rsid w:val="00E943A2"/>
    <w:rsid w:val="00E94E9B"/>
    <w:rsid w:val="00E95933"/>
    <w:rsid w:val="00E95CE8"/>
    <w:rsid w:val="00EA101D"/>
    <w:rsid w:val="00EA113E"/>
    <w:rsid w:val="00EA24AD"/>
    <w:rsid w:val="00EA2884"/>
    <w:rsid w:val="00EA3360"/>
    <w:rsid w:val="00EA45E5"/>
    <w:rsid w:val="00EA508B"/>
    <w:rsid w:val="00EA7843"/>
    <w:rsid w:val="00EB2525"/>
    <w:rsid w:val="00EB37C2"/>
    <w:rsid w:val="00EB5CB8"/>
    <w:rsid w:val="00EB771F"/>
    <w:rsid w:val="00EC010D"/>
    <w:rsid w:val="00EC4108"/>
    <w:rsid w:val="00EC44DE"/>
    <w:rsid w:val="00EC516A"/>
    <w:rsid w:val="00EC64DC"/>
    <w:rsid w:val="00ED2434"/>
    <w:rsid w:val="00ED60E5"/>
    <w:rsid w:val="00ED629E"/>
    <w:rsid w:val="00ED62CD"/>
    <w:rsid w:val="00EE08CA"/>
    <w:rsid w:val="00EE262B"/>
    <w:rsid w:val="00EE3B39"/>
    <w:rsid w:val="00EE53B8"/>
    <w:rsid w:val="00EE5E45"/>
    <w:rsid w:val="00EE799F"/>
    <w:rsid w:val="00EF1A1C"/>
    <w:rsid w:val="00EF72AF"/>
    <w:rsid w:val="00F003A4"/>
    <w:rsid w:val="00F0078A"/>
    <w:rsid w:val="00F01C10"/>
    <w:rsid w:val="00F046B1"/>
    <w:rsid w:val="00F053EB"/>
    <w:rsid w:val="00F057EC"/>
    <w:rsid w:val="00F06DEF"/>
    <w:rsid w:val="00F07140"/>
    <w:rsid w:val="00F10319"/>
    <w:rsid w:val="00F1287C"/>
    <w:rsid w:val="00F12EE5"/>
    <w:rsid w:val="00F20AA5"/>
    <w:rsid w:val="00F229B4"/>
    <w:rsid w:val="00F22A08"/>
    <w:rsid w:val="00F242EE"/>
    <w:rsid w:val="00F279BF"/>
    <w:rsid w:val="00F31011"/>
    <w:rsid w:val="00F3118B"/>
    <w:rsid w:val="00F3150D"/>
    <w:rsid w:val="00F37D14"/>
    <w:rsid w:val="00F42E37"/>
    <w:rsid w:val="00F436CB"/>
    <w:rsid w:val="00F45FBC"/>
    <w:rsid w:val="00F46F30"/>
    <w:rsid w:val="00F52707"/>
    <w:rsid w:val="00F52B60"/>
    <w:rsid w:val="00F55192"/>
    <w:rsid w:val="00F561D3"/>
    <w:rsid w:val="00F6176A"/>
    <w:rsid w:val="00F63D6B"/>
    <w:rsid w:val="00F67754"/>
    <w:rsid w:val="00F73630"/>
    <w:rsid w:val="00F7731C"/>
    <w:rsid w:val="00F776B1"/>
    <w:rsid w:val="00F818CF"/>
    <w:rsid w:val="00F81D78"/>
    <w:rsid w:val="00F8218F"/>
    <w:rsid w:val="00F855C8"/>
    <w:rsid w:val="00F863F2"/>
    <w:rsid w:val="00F86F86"/>
    <w:rsid w:val="00F87551"/>
    <w:rsid w:val="00F91F29"/>
    <w:rsid w:val="00F9337D"/>
    <w:rsid w:val="00F966E6"/>
    <w:rsid w:val="00FA1737"/>
    <w:rsid w:val="00FA224A"/>
    <w:rsid w:val="00FA3E77"/>
    <w:rsid w:val="00FB1C18"/>
    <w:rsid w:val="00FB2A23"/>
    <w:rsid w:val="00FB51CA"/>
    <w:rsid w:val="00FB54DD"/>
    <w:rsid w:val="00FC0F54"/>
    <w:rsid w:val="00FC1A1B"/>
    <w:rsid w:val="00FC3BBF"/>
    <w:rsid w:val="00FC533C"/>
    <w:rsid w:val="00FC58E6"/>
    <w:rsid w:val="00FC6441"/>
    <w:rsid w:val="00FD00BF"/>
    <w:rsid w:val="00FD257F"/>
    <w:rsid w:val="00FD310D"/>
    <w:rsid w:val="00FD44F3"/>
    <w:rsid w:val="00FE0633"/>
    <w:rsid w:val="00FE10E4"/>
    <w:rsid w:val="00FE1B36"/>
    <w:rsid w:val="00FE1EA0"/>
    <w:rsid w:val="00FE20D8"/>
    <w:rsid w:val="00FE2C99"/>
    <w:rsid w:val="00FE3145"/>
    <w:rsid w:val="00FE4AF8"/>
    <w:rsid w:val="00FE5DDC"/>
    <w:rsid w:val="00FE71B4"/>
    <w:rsid w:val="00FF1D6C"/>
    <w:rsid w:val="00FF271F"/>
    <w:rsid w:val="00FF31AE"/>
    <w:rsid w:val="00FF3733"/>
    <w:rsid w:val="00FF3BB9"/>
    <w:rsid w:val="00FF492B"/>
    <w:rsid w:val="00FF6736"/>
    <w:rsid w:val="00FF72DD"/>
    <w:rsid w:val="00FF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A053E3D"/>
  <w15:chartTrackingRefBased/>
  <w15:docId w15:val="{B0CD8171-AB86-4E2B-8211-EB94D36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5B"/>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2">
    <w:name w:val="heading 2"/>
    <w:basedOn w:val="Normal"/>
    <w:next w:val="Normal"/>
    <w:link w:val="Heading2Char"/>
    <w:uiPriority w:val="9"/>
    <w:unhideWhenUsed/>
    <w:qFormat/>
    <w:rsid w:val="0077354E"/>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1"/>
    <w:qFormat/>
    <w:rsid w:val="00EB771F"/>
    <w:rPr>
      <w:rFonts w:ascii="Calibri" w:hAnsi="Calibri"/>
      <w:sz w:val="22"/>
      <w:szCs w:val="22"/>
    </w:rPr>
  </w:style>
  <w:style w:type="character" w:customStyle="1" w:styleId="NoSpacingChar">
    <w:name w:val="No Spacing Char"/>
    <w:link w:val="NoSpacing"/>
    <w:uiPriority w:val="1"/>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 w:type="character" w:styleId="Strong">
    <w:name w:val="Strong"/>
    <w:basedOn w:val="DefaultParagraphFont"/>
    <w:uiPriority w:val="22"/>
    <w:qFormat/>
    <w:rsid w:val="00852A46"/>
    <w:rPr>
      <w:b/>
      <w:bCs/>
    </w:rPr>
  </w:style>
  <w:style w:type="character" w:customStyle="1" w:styleId="Heading2Char">
    <w:name w:val="Heading 2 Char"/>
    <w:basedOn w:val="DefaultParagraphFont"/>
    <w:link w:val="Heading2"/>
    <w:uiPriority w:val="9"/>
    <w:rsid w:val="0077354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C254C"/>
    <w:rPr>
      <w:rFonts w:ascii="Arial" w:hAnsi="Arial"/>
      <w:sz w:val="24"/>
    </w:rPr>
  </w:style>
  <w:style w:type="table" w:styleId="TableGrid">
    <w:name w:val="Table Grid"/>
    <w:basedOn w:val="TableNormal"/>
    <w:uiPriority w:val="39"/>
    <w:rsid w:val="008B0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B54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172">
      <w:bodyDiv w:val="1"/>
      <w:marLeft w:val="0"/>
      <w:marRight w:val="0"/>
      <w:marTop w:val="0"/>
      <w:marBottom w:val="0"/>
      <w:divBdr>
        <w:top w:val="none" w:sz="0" w:space="0" w:color="auto"/>
        <w:left w:val="none" w:sz="0" w:space="0" w:color="auto"/>
        <w:bottom w:val="none" w:sz="0" w:space="0" w:color="auto"/>
        <w:right w:val="none" w:sz="0" w:space="0" w:color="auto"/>
      </w:divBdr>
    </w:div>
    <w:div w:id="41365975">
      <w:bodyDiv w:val="1"/>
      <w:marLeft w:val="0"/>
      <w:marRight w:val="0"/>
      <w:marTop w:val="0"/>
      <w:marBottom w:val="0"/>
      <w:divBdr>
        <w:top w:val="none" w:sz="0" w:space="0" w:color="auto"/>
        <w:left w:val="none" w:sz="0" w:space="0" w:color="auto"/>
        <w:bottom w:val="none" w:sz="0" w:space="0" w:color="auto"/>
        <w:right w:val="none" w:sz="0" w:space="0" w:color="auto"/>
      </w:divBdr>
    </w:div>
    <w:div w:id="76709139">
      <w:bodyDiv w:val="1"/>
      <w:marLeft w:val="0"/>
      <w:marRight w:val="0"/>
      <w:marTop w:val="0"/>
      <w:marBottom w:val="0"/>
      <w:divBdr>
        <w:top w:val="none" w:sz="0" w:space="0" w:color="auto"/>
        <w:left w:val="none" w:sz="0" w:space="0" w:color="auto"/>
        <w:bottom w:val="none" w:sz="0" w:space="0" w:color="auto"/>
        <w:right w:val="none" w:sz="0" w:space="0" w:color="auto"/>
      </w:divBdr>
    </w:div>
    <w:div w:id="106704364">
      <w:bodyDiv w:val="1"/>
      <w:marLeft w:val="0"/>
      <w:marRight w:val="0"/>
      <w:marTop w:val="0"/>
      <w:marBottom w:val="0"/>
      <w:divBdr>
        <w:top w:val="none" w:sz="0" w:space="0" w:color="auto"/>
        <w:left w:val="none" w:sz="0" w:space="0" w:color="auto"/>
        <w:bottom w:val="none" w:sz="0" w:space="0" w:color="auto"/>
        <w:right w:val="none" w:sz="0" w:space="0" w:color="auto"/>
      </w:divBdr>
    </w:div>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126554291">
      <w:bodyDiv w:val="1"/>
      <w:marLeft w:val="0"/>
      <w:marRight w:val="0"/>
      <w:marTop w:val="0"/>
      <w:marBottom w:val="0"/>
      <w:divBdr>
        <w:top w:val="none" w:sz="0" w:space="0" w:color="auto"/>
        <w:left w:val="none" w:sz="0" w:space="0" w:color="auto"/>
        <w:bottom w:val="none" w:sz="0" w:space="0" w:color="auto"/>
        <w:right w:val="none" w:sz="0" w:space="0" w:color="auto"/>
      </w:divBdr>
    </w:div>
    <w:div w:id="240412021">
      <w:bodyDiv w:val="1"/>
      <w:marLeft w:val="0"/>
      <w:marRight w:val="0"/>
      <w:marTop w:val="0"/>
      <w:marBottom w:val="0"/>
      <w:divBdr>
        <w:top w:val="none" w:sz="0" w:space="0" w:color="auto"/>
        <w:left w:val="none" w:sz="0" w:space="0" w:color="auto"/>
        <w:bottom w:val="none" w:sz="0" w:space="0" w:color="auto"/>
        <w:right w:val="none" w:sz="0" w:space="0" w:color="auto"/>
      </w:divBdr>
    </w:div>
    <w:div w:id="244723753">
      <w:bodyDiv w:val="1"/>
      <w:marLeft w:val="0"/>
      <w:marRight w:val="0"/>
      <w:marTop w:val="0"/>
      <w:marBottom w:val="0"/>
      <w:divBdr>
        <w:top w:val="none" w:sz="0" w:space="0" w:color="auto"/>
        <w:left w:val="none" w:sz="0" w:space="0" w:color="auto"/>
        <w:bottom w:val="none" w:sz="0" w:space="0" w:color="auto"/>
        <w:right w:val="none" w:sz="0" w:space="0" w:color="auto"/>
      </w:divBdr>
    </w:div>
    <w:div w:id="301733685">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38719438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439569159">
      <w:bodyDiv w:val="1"/>
      <w:marLeft w:val="0"/>
      <w:marRight w:val="0"/>
      <w:marTop w:val="0"/>
      <w:marBottom w:val="0"/>
      <w:divBdr>
        <w:top w:val="none" w:sz="0" w:space="0" w:color="auto"/>
        <w:left w:val="none" w:sz="0" w:space="0" w:color="auto"/>
        <w:bottom w:val="none" w:sz="0" w:space="0" w:color="auto"/>
        <w:right w:val="none" w:sz="0" w:space="0" w:color="auto"/>
      </w:divBdr>
    </w:div>
    <w:div w:id="515270978">
      <w:bodyDiv w:val="1"/>
      <w:marLeft w:val="0"/>
      <w:marRight w:val="0"/>
      <w:marTop w:val="0"/>
      <w:marBottom w:val="0"/>
      <w:divBdr>
        <w:top w:val="none" w:sz="0" w:space="0" w:color="auto"/>
        <w:left w:val="none" w:sz="0" w:space="0" w:color="auto"/>
        <w:bottom w:val="none" w:sz="0" w:space="0" w:color="auto"/>
        <w:right w:val="none" w:sz="0" w:space="0" w:color="auto"/>
      </w:divBdr>
    </w:div>
    <w:div w:id="530192884">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613244088">
      <w:bodyDiv w:val="1"/>
      <w:marLeft w:val="0"/>
      <w:marRight w:val="0"/>
      <w:marTop w:val="0"/>
      <w:marBottom w:val="0"/>
      <w:divBdr>
        <w:top w:val="none" w:sz="0" w:space="0" w:color="auto"/>
        <w:left w:val="none" w:sz="0" w:space="0" w:color="auto"/>
        <w:bottom w:val="none" w:sz="0" w:space="0" w:color="auto"/>
        <w:right w:val="none" w:sz="0" w:space="0" w:color="auto"/>
      </w:divBdr>
    </w:div>
    <w:div w:id="613682048">
      <w:bodyDiv w:val="1"/>
      <w:marLeft w:val="0"/>
      <w:marRight w:val="0"/>
      <w:marTop w:val="0"/>
      <w:marBottom w:val="0"/>
      <w:divBdr>
        <w:top w:val="none" w:sz="0" w:space="0" w:color="auto"/>
        <w:left w:val="none" w:sz="0" w:space="0" w:color="auto"/>
        <w:bottom w:val="none" w:sz="0" w:space="0" w:color="auto"/>
        <w:right w:val="none" w:sz="0" w:space="0" w:color="auto"/>
      </w:divBdr>
    </w:div>
    <w:div w:id="629753046">
      <w:bodyDiv w:val="1"/>
      <w:marLeft w:val="0"/>
      <w:marRight w:val="0"/>
      <w:marTop w:val="0"/>
      <w:marBottom w:val="0"/>
      <w:divBdr>
        <w:top w:val="none" w:sz="0" w:space="0" w:color="auto"/>
        <w:left w:val="none" w:sz="0" w:space="0" w:color="auto"/>
        <w:bottom w:val="none" w:sz="0" w:space="0" w:color="auto"/>
        <w:right w:val="none" w:sz="0" w:space="0" w:color="auto"/>
      </w:divBdr>
    </w:div>
    <w:div w:id="647049637">
      <w:bodyDiv w:val="1"/>
      <w:marLeft w:val="0"/>
      <w:marRight w:val="0"/>
      <w:marTop w:val="0"/>
      <w:marBottom w:val="0"/>
      <w:divBdr>
        <w:top w:val="none" w:sz="0" w:space="0" w:color="auto"/>
        <w:left w:val="none" w:sz="0" w:space="0" w:color="auto"/>
        <w:bottom w:val="none" w:sz="0" w:space="0" w:color="auto"/>
        <w:right w:val="none" w:sz="0" w:space="0" w:color="auto"/>
      </w:divBdr>
    </w:div>
    <w:div w:id="664280033">
      <w:bodyDiv w:val="1"/>
      <w:marLeft w:val="0"/>
      <w:marRight w:val="0"/>
      <w:marTop w:val="0"/>
      <w:marBottom w:val="0"/>
      <w:divBdr>
        <w:top w:val="none" w:sz="0" w:space="0" w:color="auto"/>
        <w:left w:val="none" w:sz="0" w:space="0" w:color="auto"/>
        <w:bottom w:val="none" w:sz="0" w:space="0" w:color="auto"/>
        <w:right w:val="none" w:sz="0" w:space="0" w:color="auto"/>
      </w:divBdr>
    </w:div>
    <w:div w:id="697925306">
      <w:bodyDiv w:val="1"/>
      <w:marLeft w:val="0"/>
      <w:marRight w:val="0"/>
      <w:marTop w:val="0"/>
      <w:marBottom w:val="0"/>
      <w:divBdr>
        <w:top w:val="none" w:sz="0" w:space="0" w:color="auto"/>
        <w:left w:val="none" w:sz="0" w:space="0" w:color="auto"/>
        <w:bottom w:val="none" w:sz="0" w:space="0" w:color="auto"/>
        <w:right w:val="none" w:sz="0" w:space="0" w:color="auto"/>
      </w:divBdr>
    </w:div>
    <w:div w:id="738937799">
      <w:bodyDiv w:val="1"/>
      <w:marLeft w:val="0"/>
      <w:marRight w:val="0"/>
      <w:marTop w:val="0"/>
      <w:marBottom w:val="0"/>
      <w:divBdr>
        <w:top w:val="none" w:sz="0" w:space="0" w:color="auto"/>
        <w:left w:val="none" w:sz="0" w:space="0" w:color="auto"/>
        <w:bottom w:val="none" w:sz="0" w:space="0" w:color="auto"/>
        <w:right w:val="none" w:sz="0" w:space="0" w:color="auto"/>
      </w:divBdr>
    </w:div>
    <w:div w:id="739446907">
      <w:bodyDiv w:val="1"/>
      <w:marLeft w:val="0"/>
      <w:marRight w:val="0"/>
      <w:marTop w:val="0"/>
      <w:marBottom w:val="0"/>
      <w:divBdr>
        <w:top w:val="none" w:sz="0" w:space="0" w:color="auto"/>
        <w:left w:val="none" w:sz="0" w:space="0" w:color="auto"/>
        <w:bottom w:val="none" w:sz="0" w:space="0" w:color="auto"/>
        <w:right w:val="none" w:sz="0" w:space="0" w:color="auto"/>
      </w:divBdr>
    </w:div>
    <w:div w:id="760446911">
      <w:bodyDiv w:val="1"/>
      <w:marLeft w:val="0"/>
      <w:marRight w:val="0"/>
      <w:marTop w:val="0"/>
      <w:marBottom w:val="0"/>
      <w:divBdr>
        <w:top w:val="none" w:sz="0" w:space="0" w:color="auto"/>
        <w:left w:val="none" w:sz="0" w:space="0" w:color="auto"/>
        <w:bottom w:val="none" w:sz="0" w:space="0" w:color="auto"/>
        <w:right w:val="none" w:sz="0" w:space="0" w:color="auto"/>
      </w:divBdr>
    </w:div>
    <w:div w:id="766191545">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12216836">
      <w:bodyDiv w:val="1"/>
      <w:marLeft w:val="0"/>
      <w:marRight w:val="0"/>
      <w:marTop w:val="0"/>
      <w:marBottom w:val="0"/>
      <w:divBdr>
        <w:top w:val="none" w:sz="0" w:space="0" w:color="auto"/>
        <w:left w:val="none" w:sz="0" w:space="0" w:color="auto"/>
        <w:bottom w:val="none" w:sz="0" w:space="0" w:color="auto"/>
        <w:right w:val="none" w:sz="0" w:space="0" w:color="auto"/>
      </w:divBdr>
    </w:div>
    <w:div w:id="820462280">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869339709">
      <w:bodyDiv w:val="1"/>
      <w:marLeft w:val="0"/>
      <w:marRight w:val="0"/>
      <w:marTop w:val="0"/>
      <w:marBottom w:val="0"/>
      <w:divBdr>
        <w:top w:val="none" w:sz="0" w:space="0" w:color="auto"/>
        <w:left w:val="none" w:sz="0" w:space="0" w:color="auto"/>
        <w:bottom w:val="none" w:sz="0" w:space="0" w:color="auto"/>
        <w:right w:val="none" w:sz="0" w:space="0" w:color="auto"/>
      </w:divBdr>
    </w:div>
    <w:div w:id="915745228">
      <w:bodyDiv w:val="1"/>
      <w:marLeft w:val="0"/>
      <w:marRight w:val="0"/>
      <w:marTop w:val="0"/>
      <w:marBottom w:val="0"/>
      <w:divBdr>
        <w:top w:val="none" w:sz="0" w:space="0" w:color="auto"/>
        <w:left w:val="none" w:sz="0" w:space="0" w:color="auto"/>
        <w:bottom w:val="none" w:sz="0" w:space="0" w:color="auto"/>
        <w:right w:val="none" w:sz="0" w:space="0" w:color="auto"/>
      </w:divBdr>
    </w:div>
    <w:div w:id="918640790">
      <w:bodyDiv w:val="1"/>
      <w:marLeft w:val="0"/>
      <w:marRight w:val="0"/>
      <w:marTop w:val="0"/>
      <w:marBottom w:val="0"/>
      <w:divBdr>
        <w:top w:val="none" w:sz="0" w:space="0" w:color="auto"/>
        <w:left w:val="none" w:sz="0" w:space="0" w:color="auto"/>
        <w:bottom w:val="none" w:sz="0" w:space="0" w:color="auto"/>
        <w:right w:val="none" w:sz="0" w:space="0" w:color="auto"/>
      </w:divBdr>
    </w:div>
    <w:div w:id="929659368">
      <w:bodyDiv w:val="1"/>
      <w:marLeft w:val="0"/>
      <w:marRight w:val="0"/>
      <w:marTop w:val="0"/>
      <w:marBottom w:val="0"/>
      <w:divBdr>
        <w:top w:val="none" w:sz="0" w:space="0" w:color="auto"/>
        <w:left w:val="none" w:sz="0" w:space="0" w:color="auto"/>
        <w:bottom w:val="none" w:sz="0" w:space="0" w:color="auto"/>
        <w:right w:val="none" w:sz="0" w:space="0" w:color="auto"/>
      </w:divBdr>
    </w:div>
    <w:div w:id="941766023">
      <w:bodyDiv w:val="1"/>
      <w:marLeft w:val="0"/>
      <w:marRight w:val="0"/>
      <w:marTop w:val="0"/>
      <w:marBottom w:val="0"/>
      <w:divBdr>
        <w:top w:val="none" w:sz="0" w:space="0" w:color="auto"/>
        <w:left w:val="none" w:sz="0" w:space="0" w:color="auto"/>
        <w:bottom w:val="none" w:sz="0" w:space="0" w:color="auto"/>
        <w:right w:val="none" w:sz="0" w:space="0" w:color="auto"/>
      </w:divBdr>
    </w:div>
    <w:div w:id="958026356">
      <w:bodyDiv w:val="1"/>
      <w:marLeft w:val="0"/>
      <w:marRight w:val="0"/>
      <w:marTop w:val="0"/>
      <w:marBottom w:val="0"/>
      <w:divBdr>
        <w:top w:val="none" w:sz="0" w:space="0" w:color="auto"/>
        <w:left w:val="none" w:sz="0" w:space="0" w:color="auto"/>
        <w:bottom w:val="none" w:sz="0" w:space="0" w:color="auto"/>
        <w:right w:val="none" w:sz="0" w:space="0" w:color="auto"/>
      </w:divBdr>
    </w:div>
    <w:div w:id="979774869">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012494218">
      <w:bodyDiv w:val="1"/>
      <w:marLeft w:val="0"/>
      <w:marRight w:val="0"/>
      <w:marTop w:val="0"/>
      <w:marBottom w:val="0"/>
      <w:divBdr>
        <w:top w:val="none" w:sz="0" w:space="0" w:color="auto"/>
        <w:left w:val="none" w:sz="0" w:space="0" w:color="auto"/>
        <w:bottom w:val="none" w:sz="0" w:space="0" w:color="auto"/>
        <w:right w:val="none" w:sz="0" w:space="0" w:color="auto"/>
      </w:divBdr>
    </w:div>
    <w:div w:id="1025401346">
      <w:bodyDiv w:val="1"/>
      <w:marLeft w:val="0"/>
      <w:marRight w:val="0"/>
      <w:marTop w:val="0"/>
      <w:marBottom w:val="0"/>
      <w:divBdr>
        <w:top w:val="none" w:sz="0" w:space="0" w:color="auto"/>
        <w:left w:val="none" w:sz="0" w:space="0" w:color="auto"/>
        <w:bottom w:val="none" w:sz="0" w:space="0" w:color="auto"/>
        <w:right w:val="none" w:sz="0" w:space="0" w:color="auto"/>
      </w:divBdr>
    </w:div>
    <w:div w:id="1055785209">
      <w:bodyDiv w:val="1"/>
      <w:marLeft w:val="0"/>
      <w:marRight w:val="0"/>
      <w:marTop w:val="0"/>
      <w:marBottom w:val="0"/>
      <w:divBdr>
        <w:top w:val="none" w:sz="0" w:space="0" w:color="auto"/>
        <w:left w:val="none" w:sz="0" w:space="0" w:color="auto"/>
        <w:bottom w:val="none" w:sz="0" w:space="0" w:color="auto"/>
        <w:right w:val="none" w:sz="0" w:space="0" w:color="auto"/>
      </w:divBdr>
    </w:div>
    <w:div w:id="1135836434">
      <w:bodyDiv w:val="1"/>
      <w:marLeft w:val="0"/>
      <w:marRight w:val="0"/>
      <w:marTop w:val="0"/>
      <w:marBottom w:val="0"/>
      <w:divBdr>
        <w:top w:val="none" w:sz="0" w:space="0" w:color="auto"/>
        <w:left w:val="none" w:sz="0" w:space="0" w:color="auto"/>
        <w:bottom w:val="none" w:sz="0" w:space="0" w:color="auto"/>
        <w:right w:val="none" w:sz="0" w:space="0" w:color="auto"/>
      </w:divBdr>
    </w:div>
    <w:div w:id="1166702999">
      <w:bodyDiv w:val="1"/>
      <w:marLeft w:val="0"/>
      <w:marRight w:val="0"/>
      <w:marTop w:val="0"/>
      <w:marBottom w:val="0"/>
      <w:divBdr>
        <w:top w:val="none" w:sz="0" w:space="0" w:color="auto"/>
        <w:left w:val="none" w:sz="0" w:space="0" w:color="auto"/>
        <w:bottom w:val="none" w:sz="0" w:space="0" w:color="auto"/>
        <w:right w:val="none" w:sz="0" w:space="0" w:color="auto"/>
      </w:divBdr>
    </w:div>
    <w:div w:id="1246917827">
      <w:bodyDiv w:val="1"/>
      <w:marLeft w:val="0"/>
      <w:marRight w:val="0"/>
      <w:marTop w:val="0"/>
      <w:marBottom w:val="0"/>
      <w:divBdr>
        <w:top w:val="none" w:sz="0" w:space="0" w:color="auto"/>
        <w:left w:val="none" w:sz="0" w:space="0" w:color="auto"/>
        <w:bottom w:val="none" w:sz="0" w:space="0" w:color="auto"/>
        <w:right w:val="none" w:sz="0" w:space="0" w:color="auto"/>
      </w:divBdr>
    </w:div>
    <w:div w:id="1265726361">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371036039">
      <w:bodyDiv w:val="1"/>
      <w:marLeft w:val="0"/>
      <w:marRight w:val="0"/>
      <w:marTop w:val="0"/>
      <w:marBottom w:val="0"/>
      <w:divBdr>
        <w:top w:val="none" w:sz="0" w:space="0" w:color="auto"/>
        <w:left w:val="none" w:sz="0" w:space="0" w:color="auto"/>
        <w:bottom w:val="none" w:sz="0" w:space="0" w:color="auto"/>
        <w:right w:val="none" w:sz="0" w:space="0" w:color="auto"/>
      </w:divBdr>
    </w:div>
    <w:div w:id="1372344230">
      <w:bodyDiv w:val="1"/>
      <w:marLeft w:val="0"/>
      <w:marRight w:val="0"/>
      <w:marTop w:val="0"/>
      <w:marBottom w:val="0"/>
      <w:divBdr>
        <w:top w:val="none" w:sz="0" w:space="0" w:color="auto"/>
        <w:left w:val="none" w:sz="0" w:space="0" w:color="auto"/>
        <w:bottom w:val="none" w:sz="0" w:space="0" w:color="auto"/>
        <w:right w:val="none" w:sz="0" w:space="0" w:color="auto"/>
      </w:divBdr>
    </w:div>
    <w:div w:id="1451433757">
      <w:bodyDiv w:val="1"/>
      <w:marLeft w:val="0"/>
      <w:marRight w:val="0"/>
      <w:marTop w:val="0"/>
      <w:marBottom w:val="0"/>
      <w:divBdr>
        <w:top w:val="none" w:sz="0" w:space="0" w:color="auto"/>
        <w:left w:val="none" w:sz="0" w:space="0" w:color="auto"/>
        <w:bottom w:val="none" w:sz="0" w:space="0" w:color="auto"/>
        <w:right w:val="none" w:sz="0" w:space="0" w:color="auto"/>
      </w:divBdr>
    </w:div>
    <w:div w:id="1486975797">
      <w:bodyDiv w:val="1"/>
      <w:marLeft w:val="0"/>
      <w:marRight w:val="0"/>
      <w:marTop w:val="0"/>
      <w:marBottom w:val="0"/>
      <w:divBdr>
        <w:top w:val="none" w:sz="0" w:space="0" w:color="auto"/>
        <w:left w:val="none" w:sz="0" w:space="0" w:color="auto"/>
        <w:bottom w:val="none" w:sz="0" w:space="0" w:color="auto"/>
        <w:right w:val="none" w:sz="0" w:space="0" w:color="auto"/>
      </w:divBdr>
    </w:div>
    <w:div w:id="1502087144">
      <w:bodyDiv w:val="1"/>
      <w:marLeft w:val="0"/>
      <w:marRight w:val="0"/>
      <w:marTop w:val="0"/>
      <w:marBottom w:val="0"/>
      <w:divBdr>
        <w:top w:val="none" w:sz="0" w:space="0" w:color="auto"/>
        <w:left w:val="none" w:sz="0" w:space="0" w:color="auto"/>
        <w:bottom w:val="none" w:sz="0" w:space="0" w:color="auto"/>
        <w:right w:val="none" w:sz="0" w:space="0" w:color="auto"/>
      </w:divBdr>
    </w:div>
    <w:div w:id="1539931466">
      <w:bodyDiv w:val="1"/>
      <w:marLeft w:val="0"/>
      <w:marRight w:val="0"/>
      <w:marTop w:val="0"/>
      <w:marBottom w:val="0"/>
      <w:divBdr>
        <w:top w:val="none" w:sz="0" w:space="0" w:color="auto"/>
        <w:left w:val="none" w:sz="0" w:space="0" w:color="auto"/>
        <w:bottom w:val="none" w:sz="0" w:space="0" w:color="auto"/>
        <w:right w:val="none" w:sz="0" w:space="0" w:color="auto"/>
      </w:divBdr>
    </w:div>
    <w:div w:id="1598825077">
      <w:bodyDiv w:val="1"/>
      <w:marLeft w:val="0"/>
      <w:marRight w:val="0"/>
      <w:marTop w:val="0"/>
      <w:marBottom w:val="0"/>
      <w:divBdr>
        <w:top w:val="none" w:sz="0" w:space="0" w:color="auto"/>
        <w:left w:val="none" w:sz="0" w:space="0" w:color="auto"/>
        <w:bottom w:val="none" w:sz="0" w:space="0" w:color="auto"/>
        <w:right w:val="none" w:sz="0" w:space="0" w:color="auto"/>
      </w:divBdr>
    </w:div>
    <w:div w:id="1599406444">
      <w:bodyDiv w:val="1"/>
      <w:marLeft w:val="0"/>
      <w:marRight w:val="0"/>
      <w:marTop w:val="0"/>
      <w:marBottom w:val="0"/>
      <w:divBdr>
        <w:top w:val="none" w:sz="0" w:space="0" w:color="auto"/>
        <w:left w:val="none" w:sz="0" w:space="0" w:color="auto"/>
        <w:bottom w:val="none" w:sz="0" w:space="0" w:color="auto"/>
        <w:right w:val="none" w:sz="0" w:space="0" w:color="auto"/>
      </w:divBdr>
    </w:div>
    <w:div w:id="1634141294">
      <w:bodyDiv w:val="1"/>
      <w:marLeft w:val="0"/>
      <w:marRight w:val="0"/>
      <w:marTop w:val="0"/>
      <w:marBottom w:val="0"/>
      <w:divBdr>
        <w:top w:val="none" w:sz="0" w:space="0" w:color="auto"/>
        <w:left w:val="none" w:sz="0" w:space="0" w:color="auto"/>
        <w:bottom w:val="none" w:sz="0" w:space="0" w:color="auto"/>
        <w:right w:val="none" w:sz="0" w:space="0" w:color="auto"/>
      </w:divBdr>
    </w:div>
    <w:div w:id="1653677200">
      <w:bodyDiv w:val="1"/>
      <w:marLeft w:val="0"/>
      <w:marRight w:val="0"/>
      <w:marTop w:val="0"/>
      <w:marBottom w:val="0"/>
      <w:divBdr>
        <w:top w:val="none" w:sz="0" w:space="0" w:color="auto"/>
        <w:left w:val="none" w:sz="0" w:space="0" w:color="auto"/>
        <w:bottom w:val="none" w:sz="0" w:space="0" w:color="auto"/>
        <w:right w:val="none" w:sz="0" w:space="0" w:color="auto"/>
      </w:divBdr>
    </w:div>
    <w:div w:id="1662275962">
      <w:bodyDiv w:val="1"/>
      <w:marLeft w:val="0"/>
      <w:marRight w:val="0"/>
      <w:marTop w:val="0"/>
      <w:marBottom w:val="0"/>
      <w:divBdr>
        <w:top w:val="none" w:sz="0" w:space="0" w:color="auto"/>
        <w:left w:val="none" w:sz="0" w:space="0" w:color="auto"/>
        <w:bottom w:val="none" w:sz="0" w:space="0" w:color="auto"/>
        <w:right w:val="none" w:sz="0" w:space="0" w:color="auto"/>
      </w:divBdr>
    </w:div>
    <w:div w:id="1689017173">
      <w:bodyDiv w:val="1"/>
      <w:marLeft w:val="0"/>
      <w:marRight w:val="0"/>
      <w:marTop w:val="0"/>
      <w:marBottom w:val="0"/>
      <w:divBdr>
        <w:top w:val="none" w:sz="0" w:space="0" w:color="auto"/>
        <w:left w:val="none" w:sz="0" w:space="0" w:color="auto"/>
        <w:bottom w:val="none" w:sz="0" w:space="0" w:color="auto"/>
        <w:right w:val="none" w:sz="0" w:space="0" w:color="auto"/>
      </w:divBdr>
    </w:div>
    <w:div w:id="1762599176">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807578611">
      <w:bodyDiv w:val="1"/>
      <w:marLeft w:val="0"/>
      <w:marRight w:val="0"/>
      <w:marTop w:val="0"/>
      <w:marBottom w:val="0"/>
      <w:divBdr>
        <w:top w:val="none" w:sz="0" w:space="0" w:color="auto"/>
        <w:left w:val="none" w:sz="0" w:space="0" w:color="auto"/>
        <w:bottom w:val="none" w:sz="0" w:space="0" w:color="auto"/>
        <w:right w:val="none" w:sz="0" w:space="0" w:color="auto"/>
      </w:divBdr>
    </w:div>
    <w:div w:id="1827478253">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39024703">
      <w:bodyDiv w:val="1"/>
      <w:marLeft w:val="0"/>
      <w:marRight w:val="0"/>
      <w:marTop w:val="0"/>
      <w:marBottom w:val="0"/>
      <w:divBdr>
        <w:top w:val="none" w:sz="0" w:space="0" w:color="auto"/>
        <w:left w:val="none" w:sz="0" w:space="0" w:color="auto"/>
        <w:bottom w:val="none" w:sz="0" w:space="0" w:color="auto"/>
        <w:right w:val="none" w:sz="0" w:space="0" w:color="auto"/>
      </w:divBdr>
    </w:div>
    <w:div w:id="1956791453">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15643093">
      <w:bodyDiv w:val="1"/>
      <w:marLeft w:val="0"/>
      <w:marRight w:val="0"/>
      <w:marTop w:val="0"/>
      <w:marBottom w:val="0"/>
      <w:divBdr>
        <w:top w:val="none" w:sz="0" w:space="0" w:color="auto"/>
        <w:left w:val="none" w:sz="0" w:space="0" w:color="auto"/>
        <w:bottom w:val="none" w:sz="0" w:space="0" w:color="auto"/>
        <w:right w:val="none" w:sz="0" w:space="0" w:color="auto"/>
      </w:divBdr>
    </w:div>
    <w:div w:id="2024084375">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 w:id="2033265966">
      <w:bodyDiv w:val="1"/>
      <w:marLeft w:val="0"/>
      <w:marRight w:val="0"/>
      <w:marTop w:val="0"/>
      <w:marBottom w:val="0"/>
      <w:divBdr>
        <w:top w:val="none" w:sz="0" w:space="0" w:color="auto"/>
        <w:left w:val="none" w:sz="0" w:space="0" w:color="auto"/>
        <w:bottom w:val="none" w:sz="0" w:space="0" w:color="auto"/>
        <w:right w:val="none" w:sz="0" w:space="0" w:color="auto"/>
      </w:divBdr>
    </w:div>
    <w:div w:id="2106996520">
      <w:bodyDiv w:val="1"/>
      <w:marLeft w:val="0"/>
      <w:marRight w:val="0"/>
      <w:marTop w:val="0"/>
      <w:marBottom w:val="0"/>
      <w:divBdr>
        <w:top w:val="none" w:sz="0" w:space="0" w:color="auto"/>
        <w:left w:val="none" w:sz="0" w:space="0" w:color="auto"/>
        <w:bottom w:val="none" w:sz="0" w:space="0" w:color="auto"/>
        <w:right w:val="none" w:sz="0" w:space="0" w:color="auto"/>
      </w:divBdr>
    </w:div>
    <w:div w:id="21290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CE28-5C78-4364-A943-93FFC281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123</TotalTime>
  <Pages>10</Pages>
  <Words>3821</Words>
  <Characters>20758</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24530</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Mansfield, Joanne</cp:lastModifiedBy>
  <cp:revision>7</cp:revision>
  <cp:lastPrinted>2019-02-05T10:38:00Z</cp:lastPrinted>
  <dcterms:created xsi:type="dcterms:W3CDTF">2019-02-12T12:47:00Z</dcterms:created>
  <dcterms:modified xsi:type="dcterms:W3CDTF">2019-02-14T13:46:00Z</dcterms:modified>
</cp:coreProperties>
</file>